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GAPKondG — Ausnahmen von Verwaltungssanktionen</w:t>
      </w:r>
    </w:p>
    <w:p>
      <w:r>
        <w:rPr>
          <w:color w:val="555555"/>
          <w:sz w:val="18"/>
        </w:rPr>
        <w:t xml:space="preserve">GAP-Konditionalitäten-Gesetz</w:t>
      </w:r>
    </w:p>
    <w:p>
      <w:r>
        <w:rPr>
          <w:color w:val="555555"/>
          <w:sz w:val="18"/>
        </w:rPr>
        <w:t xml:space="preserve">Stand: 21.11.2024 (konsolidierte Textfassung, kein amtliches Inkrafttretensdatum)</w:t>
      </w:r>
    </w:p>
    <w:p>
      <w:r>
        <w:t xml:space="preserve">(1) Kommt der Begünstigte den in § 3 Absatz 1 Nummer 1 und 2 genannten Verpflichtungen aufgrund von höherer Gewalt oder außergewöhnlichen Umständen nicht nach, so werden keine Verwaltungssanktionen nach diesem Kapitel angewandt.</w:t>
      </w:r>
    </w:p>
    <w:p>
      <w:r>
        <w:t xml:space="preserve">(2) Fälle höherer Gewalt oder außergewöhnliche Umstände hat der Begünstigte der zuständigen Behörde innerhalb von fünfzehn Werktagen ab dem Zeitpunkt, ab dem er hierzu in der Lage ist, mitzuteilen und nachzuweisen.</w:t>
      </w:r>
    </w:p>
    <w:p>
      <w:r>
        <w:rPr>
          <w:color w:val="555555"/>
          <w:sz w:val="17"/>
        </w:rPr>
        <w:t xml:space="preserve">Zitiervorschlag: § 24 GAPKondG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