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GAPKondG — Sanktionierung bei Übertragung</w:t>
      </w:r>
    </w:p>
    <w:p>
      <w:r>
        <w:rPr>
          <w:color w:val="555555"/>
          <w:sz w:val="18"/>
        </w:rPr>
        <w:t xml:space="preserve">GAP-Konditionalitäten-Gesetz</w:t>
      </w:r>
    </w:p>
    <w:p>
      <w:r>
        <w:rPr>
          <w:color w:val="555555"/>
          <w:sz w:val="18"/>
        </w:rPr>
        <w:t xml:space="preserve">Stand: 21.11.2024 (konsolidierte Textfassung, kein amtliches Inkrafttretensdatum)</w:t>
      </w:r>
    </w:p>
    <w:p>
      <w:r>
        <w:t xml:space="preserve">(1) Wird im Laufe des Kalenderjahres eine landwirtschaftliche Fläche übertragen, ergeht die Verwaltungssanktion gegen denjenigen an der Übertragung Beteiligten, der einen Sammelantrag nach der Unionsregelung für die landwirtschaftliche Fläche gestellt hat. Wenn derjenige Beteiligte, dem der Verstoß unmittelbar zuzurechnen ist, selbst einen Sammelantrag nach der Unionsregelung stellt, ist die Verwaltungssanktion gegen diesen Beteiligten zu richten.</w:t>
      </w:r>
    </w:p>
    <w:p>
      <w:r>
        <w:t xml:space="preserve">(2) Absatz 1 gilt entsprechend bei der Übertragung anderer Betriebsteile.</w:t>
      </w:r>
    </w:p>
    <w:p>
      <w:r>
        <w:rPr>
          <w:color w:val="555555"/>
          <w:sz w:val="17"/>
        </w:rPr>
        <w:t xml:space="preserve">Zitiervorschlag: § 22 GAPKondG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https://recht.nulegal.eu/gesetze/GAPKondG/22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