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GAPKondG — Zurechnung von Verstößen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21.11.2024 (konsolidierte Textfassung, kein amtliches Inkrafttretensdatum)</w:t>
      </w:r>
    </w:p>
    <w:p>
      <w:r>
        <w:t xml:space="preserve">(1) Verstöße gegen die Verpflichtungen nach § 3 Absatz 1 werden sanktioniert. Satz 1 gilt nicht für Begünstigte mit einer Betriebsgröße von bis zu 10 Hektar landwirtschaftlicher Betriebsfläche, sofern es sich nicht um Verstöße gegen die in § 3 Absatz 1 Nummer 3 bezeichneten Verpflichtungen handelt.</w:t>
      </w:r>
    </w:p>
    <w:p>
      <w:r>
        <w:t xml:space="preserve">(2) Der Begünstigte hat einen Verstoß gegen die Verpflichtungen nach § 3 Absatz 1 Nummer 1 und 2 durch seine Arbeitnehmer im Betrieb und der Personen, derer er sich zur Erfüllung dieser Verpflichtungen bedient, in gleichem Umfang zu vertreten wie einen eigenen Verstoß.</w:t>
      </w:r>
    </w:p>
    <w:p>
      <w:r>
        <w:rPr>
          <w:color w:val="555555"/>
          <w:sz w:val="17"/>
        </w:rPr>
        <w:t xml:space="preserve">Zitiervorschlag: § 21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