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GAPKondG — Kontrollbericht; Information des Begünstigten</w:t>
      </w:r>
    </w:p>
    <w:p>
      <w:r>
        <w:rPr>
          <w:color w:val="555555"/>
          <w:sz w:val="18"/>
        </w:rPr>
        <w:t xml:space="preserve">GAP-Konditionalitäten-Gesetz</w:t>
      </w:r>
    </w:p>
    <w:p>
      <w:r>
        <w:rPr>
          <w:color w:val="555555"/>
          <w:sz w:val="18"/>
        </w:rPr>
        <w:t xml:space="preserve">Stand: 21.11.2024 (konsolidierte Textfassung, kein amtliches Inkrafttretensdatum)</w:t>
      </w:r>
    </w:p>
    <w:p>
      <w:r>
        <w:t xml:space="preserve">(1) Die zuständige Kontrollbehörde erstellt einen Kontrollbericht für jede im Rahmen dieses Abschnitts durchgeführte Kontrolle vor Ort.</w:t>
      </w:r>
    </w:p>
    <w:p>
      <w:r>
        <w:t xml:space="preserve">(2) Der Begünstigte wird nach Abschluss der Kontrolle, spätestens innerhalb von drei Monaten, über jeden festgestellten Verstoß informiert.</w:t>
      </w:r>
    </w:p>
    <w:p>
      <w:r>
        <w:rPr>
          <w:color w:val="555555"/>
          <w:sz w:val="17"/>
        </w:rPr>
        <w:t xml:space="preserve">Zitiervorschlag: § 20 GAPKondG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