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GAPKondG — Mindestkontrollsatz; Kontrollstichproben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Die Kontrollbehörde führt im Bereich der in ihre Zuständigkeit fallenden GAB und GLÖZ-Standards Kontrollen vor Ort bei mindestens 1 Prozent aller in ihre Zuständigkeit fallenden Begünstigten durch.</w:t>
      </w:r>
    </w:p>
    <w:p>
      <w:r>
        <w:t xml:space="preserve">(2) Die Auswahl der Stichprobe der gemäß Absatz 1 zu kontrollierenden Begünstigten durch die zuständige Kontrollbehörde umfasst einen Risiko- und einen Zufallsanteil.</w:t>
      </w:r>
    </w:p>
    <w:p>
      <w:r>
        <w:t xml:space="preserve">(3) Für die Zwecke der Absätze 1 und 2 bleiben Begünstigte mit einer Betriebsgröße von bis zu 10 Hektar landwirtschaftlicher Fläche unberücksichtigt.</w:t>
      </w:r>
    </w:p>
    <w:p>
      <w:r>
        <w:rPr>
          <w:color w:val="555555"/>
          <w:sz w:val="17"/>
        </w:rPr>
        <w:t xml:space="preserve">Zitiervorschlag: § 18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