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GAPKondG — Anwendung des Integrierten Verwaltungs- und Kontrollsystems</w:t>
      </w:r>
    </w:p>
    <w:p>
      <w:r>
        <w:rPr>
          <w:color w:val="555555"/>
          <w:sz w:val="18"/>
        </w:rPr>
        <w:t xml:space="preserve">GAP-Konditionalitäten-Gesetz</w:t>
      </w:r>
    </w:p>
    <w:p>
      <w:r>
        <w:rPr>
          <w:color w:val="555555"/>
          <w:sz w:val="18"/>
        </w:rPr>
        <w:t xml:space="preserve">Stand: 21.11.2024 (konsolidierte Textfassung, kein amtliches Inkrafttretensdatum)</w:t>
      </w:r>
    </w:p>
    <w:p>
      <w:r>
        <w:t xml:space="preserve">Das Integrierte Verwaltungs- und Kontrollsystem nach der Unionsregelung wird zum Zwecke der Einhaltung und der Durchführung der Verpflichtungen nach § 3 Absatz 1 Nummer 1 und 2 angewendet.</w:t>
      </w:r>
    </w:p>
    <w:p>
      <w:r>
        <w:rPr>
          <w:color w:val="555555"/>
          <w:sz w:val="17"/>
        </w:rPr>
        <w:t xml:space="preserve">Zitiervorschlag: § 15 GAPKondG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https://recht.nulegal.eu/gesetze/GAPKondG/15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