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GAPKondG — Auskunftsersuchen an die Zahlstelle</w:t>
      </w:r>
    </w:p>
    <w:p>
      <w:r>
        <w:rPr>
          <w:color w:val="555555"/>
          <w:sz w:val="18"/>
        </w:rPr>
        <w:t xml:space="preserve">GAP-Konditionalitäten-Gesetz</w:t>
      </w:r>
    </w:p>
    <w:p>
      <w:r>
        <w:rPr>
          <w:color w:val="555555"/>
          <w:sz w:val="18"/>
        </w:rPr>
        <w:t xml:space="preserve">Stand: 21.11.2024 (konsolidierte Textfassung, kein amtliches Inkrafttretensdatum)</w:t>
      </w:r>
    </w:p>
    <w:p>
      <w:r>
        <w:t xml:space="preserve">(1) Die nach § 13 Absatz 3 zuständige Behörde oder Körperschaft kann zur Feststellung, ob ein Verstoß gegen Vorschriften der sozialen Konditionalität unter die Mitteilungspflicht nach § 13 Absatz 1 Satz 1 fällt, die Zahlstelle um Auskunft ersuchen, ob eine natürliche oder juristische Person, der gegenüber eine unanfechtbare Anordnung, eine unanfechtbare Bußgeldentscheidung oder eine rechtskräftige Gerichtsentscheidung im Sinne des § 13 Absatz 1 ergangen ist, Begünstigter ist. Das Ersuchen soll elektronisch gestellt werden.</w:t>
      </w:r>
    </w:p>
    <w:p>
      <w:r>
        <w:t xml:space="preserve">(2) Ist eine natürliche oder juristische Person Begünstigter, teilt die Zahlstelle der nach § 13 Absatz 3 zuständigen Behörde oder Körperschaft dessen Betriebsnummer im Sinne des GAP-Integrierten Verwaltungs- und Kontrollsystems mit.</w:t>
      </w:r>
    </w:p>
    <w:p>
      <w:r>
        <w:rPr>
          <w:color w:val="555555"/>
          <w:sz w:val="17"/>
        </w:rPr>
        <w:t xml:space="preserve">Zitiervorschlag: § 14 GAPKondG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