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GAPKondG — Umweltsensibles Dauergrünland; Verordnungsermächtigung</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Als umweltsensibel gilt das am 1. Januar 2015 bestehende Dauergrünland, das in Gebieten gelegen ist,</w:t>
      </w:r>
    </w:p>
    <w:p>
      <w:pPr>
        <w:ind w:left="420"/>
      </w:pPr>
      <w:r>
        <w:t xml:space="preserve">1. die in die Liste nach Artikel 4 Absatz 2 Unterabsatz 3 der Richtlinie 92/43/EWG eingetragen sind, oder</w:t>
      </w:r>
    </w:p>
    <w:p>
      <w:pPr>
        <w:ind w:left="420"/>
      </w:pPr>
      <w:r>
        <w:t xml:space="preserve">2. die nach Artikel 4 Absatz 1 Unterabsatz 2 der Richtlinie 2009/147/EG des Europäischen Parlaments und des Rates vom 30. November 2009 über die Erhaltung der wildlebenden Vogelarten (ABl. L 20 vom 26.1.2010, S. 7), die zuletzt durch die Verordnung (EU) 2019/101 (ABl. L 170 vom 25.6.2019, S. 115) geändert worden ist, als Schutzgebiet ausgewiesen sind.</w:t>
      </w:r>
    </w:p>
    <w:p>
      <w:r>
        <w:t xml:space="preserve">(2) Absatz 1 gilt nicht für Flächen, die an dem dort genannten Tag Gegenstand einer der folgenden Verpflichtungen waren:</w:t>
      </w:r>
    </w:p>
    <w:p>
      <w:pPr>
        <w:ind w:left="420"/>
      </w:pPr>
      <w:r>
        <w:t xml:space="preserve">1. Stilllegung nach der Verordnung (EWG) Nr. 2078/1992 des Rates vom 30. Juni 1992 für umweltgerechte und den natürlichen Lebensraum schützende landwirtschaftliche Produktionsverfahren (ABl. L 215 vom 30.7.1992, S. 85) in der jeweils geltenden Fassung,</w:t>
      </w:r>
    </w:p>
    <w:p>
      <w:pPr>
        <w:ind w:left="420"/>
      </w:pPr>
      <w:r>
        <w:t xml:space="preserve">2. Umwandlung von Ackerland in Grünland nach Artikel 39 der Verordnung (EG) Nr. 1698/2005 oder</w:t>
      </w:r>
    </w:p>
    <w:p>
      <w:pPr>
        <w:ind w:left="420"/>
      </w:pPr>
      <w:r>
        <w:t xml:space="preserve">3. Beibehaltung von Grünland, das durch Umwandlung von Ackerland in Grünland entstanden ist und seither fortlaufend Gegenstand einer Verpflichtung nach der Unionsregelung oder den nachstehend genannten Vorschriften ist:</w:t>
      </w:r>
    </w:p>
    <w:p>
      <w:pPr>
        <w:ind w:left="780"/>
      </w:pPr>
      <w:r>
        <w:t xml:space="preserve">a) der Verordnung (EWG) Nr. 2078/1992,</w:t>
      </w:r>
    </w:p>
    <w:p>
      <w:pPr>
        <w:ind w:left="780"/>
      </w:pPr>
      <w:r>
        <w:t xml:space="preserve">b) den Artikeln 22 bis 24 der Verordnung (EG) Nr. 1257/1999,</w:t>
      </w:r>
    </w:p>
    <w:p>
      <w:pPr>
        <w:ind w:left="780"/>
      </w:pPr>
      <w:r>
        <w:t xml:space="preserve">c) Artikel 39 der Verordnung (EG) Nr. 1698/2005 oder</w:t>
      </w:r>
    </w:p>
    <w:p>
      <w:pPr>
        <w:ind w:left="780"/>
      </w:pPr>
      <w:r>
        <w:t xml:space="preserve">d) Artikel 28 der Verordnung (EU) Nr. 1305/2013.</w:t>
      </w:r>
    </w:p>
    <w:p>
      <w:r>
        <w:t xml:space="preserve">(3) Umweltsensibles Dauergrünland gemäß Absatz 1 darf nicht umgewandelt oder gepflügt werden. Satz 1 gilt nicht beim Überführen in eine nichtlandwirtschaftliche Fläche.</w:t>
      </w:r>
    </w:p>
    <w:p>
      <w:r>
        <w:t xml:space="preserve">(4) § 5 Absatz 1 sowie die §§ 6 und 7 gelten nicht für umweltsensibles Dauergrünland nach Absatz 1.</w:t>
      </w:r>
    </w:p>
    <w:p>
      <w:r>
        <w:t xml:space="preserve">(5) Die Landesregierungen werden ermächtigt, durch Rechtsverordnung bezüglich der in Absatz 1 Nummer 2 genannten Gebiete für einzelne Gebiete oder Teile dieser Gebiete aus den folgenden Gründen zu bestimmen, dass das in ihnen gelegene Dauergrünland nicht als umweltsensibel gilt:</w:t>
      </w:r>
    </w:p>
    <w:p>
      <w:pPr>
        <w:ind w:left="420"/>
      </w:pPr>
      <w:r>
        <w:t xml:space="preserve">1. aus Gründen des Umwelt- und Naturschutzes,</w:t>
      </w:r>
    </w:p>
    <w:p>
      <w:pPr>
        <w:ind w:left="420"/>
      </w:pPr>
      <w:r>
        <w:t xml:space="preserve">2. aus Gründen des Pflanzenschutzes,</w:t>
      </w:r>
    </w:p>
    <w:p>
      <w:pPr>
        <w:ind w:left="420"/>
      </w:pPr>
      <w:r>
        <w:t xml:space="preserve">3. um die Errichtung einer baulichen Anlage zu ermöglichen,</w:t>
      </w:r>
    </w:p>
    <w:p>
      <w:pPr>
        <w:ind w:left="420"/>
      </w:pPr>
      <w:r>
        <w:t xml:space="preserve">4. im Rahmen der Flurneuordnung,</w:t>
      </w:r>
    </w:p>
    <w:p>
      <w:pPr>
        <w:ind w:left="420"/>
      </w:pPr>
      <w:r>
        <w:t xml:space="preserve">5. aus zwingenden Gründen des überwiegenden öffentlichen Interesses oder</w:t>
      </w:r>
    </w:p>
    <w:p>
      <w:pPr>
        <w:ind w:left="420"/>
      </w:pPr>
      <w:r>
        <w:t xml:space="preserve">6. aus anderen wichtigen Gründen.</w:t>
      </w:r>
    </w:p>
    <w:p>
      <w:r>
        <w:t xml:space="preserve">Bestimmungen gemäß Satz 1 Nummer 2 bis 6 dürfen nicht erfolgen, soweit Belange des Umwelt-, des Natur- oder des Klimaschutzes entgegenstehen.</w:t>
      </w:r>
    </w:p>
    <w:p>
      <w:r>
        <w:t xml:space="preserve">(6) Das Bundesministerium für Ernährung und Landwirtschaft wird ermächtigt, im Einvernehmen mit dem Bundesministerium für Umwelt, Naturschutz und nukleare Sicherheit, zur sachgerechten Durchführung der Unionsregelung zur Gewährleistung des umweltsensiblen Dauergrünlands durch Rechtsverordnung mit Zustimmung des Bundesrates Vorschriften zu erlassen über</w:t>
      </w:r>
    </w:p>
    <w:p>
      <w:pPr>
        <w:ind w:left="420"/>
      </w:pPr>
      <w:r>
        <w:t xml:space="preserve">1. die Verpflichtung des Begünstigten zur Rückumwandlung von Dauergrünland, das entgegen Absatz 3 umgewandelt oder umgepflügt wurde,</w:t>
      </w:r>
    </w:p>
    <w:p>
      <w:pPr>
        <w:ind w:left="420"/>
      </w:pPr>
      <w:r>
        <w:t xml:space="preserve">2. die weiteren Voraussetzungen für die Verpflichtung zur Rückumwandlung und</w:t>
      </w:r>
    </w:p>
    <w:p>
      <w:pPr>
        <w:ind w:left="420"/>
      </w:pPr>
      <w:r>
        <w:t xml:space="preserve">3. das zugehörige Verfahren.</w:t>
      </w:r>
    </w:p>
    <w:p>
      <w:r>
        <w:rPr>
          <w:color w:val="555555"/>
          <w:sz w:val="17"/>
        </w:rPr>
        <w:t xml:space="preserve">Zitiervorschlag: § 12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