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GAPKondG — Mindestanteil von Ackerland an nichtproduktiven Flächen</w:t>
      </w:r>
    </w:p>
    <w:p>
      <w:r>
        <w:rPr>
          <w:color w:val="555555"/>
          <w:sz w:val="18"/>
        </w:rPr>
        <w:t xml:space="preserve">GAP-Konditionalitäten-Gesetz</w:t>
      </w:r>
    </w:p>
    <w:p>
      <w:r>
        <w:rPr>
          <w:color w:val="555555"/>
          <w:sz w:val="18"/>
        </w:rPr>
        <w:t xml:space="preserve">Stand: 16.12.2022 (konsolidierte Textfassung, kein amtliches Inkrafttretensdatum)</w:t>
      </w:r>
    </w:p>
    <w:p>
      <w:r>
        <w:t xml:space="preserve">(1) Der Begünstigte ist verpflichtet, mindestens 3 Prozent des Ackerlands des Betriebes als nichtproduktive Fläche oder als Landschaftselemente vorzuhalten.</w:t>
      </w:r>
    </w:p>
    <w:p>
      <w:r>
        <w:t xml:space="preserve">(2) Soweit die Unionsregelung einen höheren als den in Absatz 1 genannten Mindestprozentsatz vorsieht, ist der in Absatz 1 genannte Prozentsatz in der Verordnung gemäß § 23 Absatz 1 Nummer 2 an den im Unionsrecht vorgesehenen Mindestprozentsatz anzupassen.</w:t>
      </w:r>
    </w:p>
    <w:p>
      <w:r>
        <w:rPr>
          <w:color w:val="555555"/>
          <w:sz w:val="17"/>
        </w:rPr>
        <w:t xml:space="preserve">Zitiervorschlag: § 11 GAPKondG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