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GAPKondG — Anwendungsbereich</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Dieses Gesetz dient der Durchführung</w:t>
      </w:r>
    </w:p>
    <w:p>
      <w:pPr>
        <w:ind w:left="420"/>
      </w:pPr>
      <w:r>
        <w:t xml:space="preserve">1. des Titels III Kapitel I Abschnitt 2 und 3 der 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L 435 vom 6.12.2021, S. 1; L 181 vom 7.7.2022, S. 35; L 227 vom 1.9.2022, S. 137) in der jeweils geltenden Fassung,</w:t>
      </w:r>
    </w:p>
    <w:p>
      <w:pPr>
        <w:ind w:left="420"/>
      </w:pPr>
      <w:r>
        <w:t xml:space="preserve">2. des Titels IV Kapitel IV und V der Verordnung (EU) 2021/2116 des Europäischen Parlaments und des Rates vom 2. Dezember 2021 über die Finanzierung, Verwaltung und Überwachung der Gemeinsamen Agrarpolitik und zur Aufhebung der Verordnung (EU) Nr. 1306/2013 (ABl. L 435 vom 6.12.2021, S. 187; L 29 vom 10.2.2022, S. 45) in der jeweils geltenden Fassung und</w:t>
      </w:r>
    </w:p>
    <w:p>
      <w:pPr>
        <w:ind w:left="420"/>
      </w:pPr>
      <w:r>
        <w:t xml:space="preserve">3. der im Rahmen dieser Rechtsakte und zu ihrer Durchführung erlassenen weiteren Rechtsakte der Europäischen Union in der jeweils geltenden Fassung.</w:t>
      </w:r>
    </w:p>
    <w:p>
      <w:r>
        <w:t xml:space="preserve">Die in Satz 1 genannten Rechtsvorschriften der Europäischen Union werden im Folgenden als Unionsregelung bezeichnet.</w:t>
      </w:r>
    </w:p>
    <w:p>
      <w:r>
        <w:t xml:space="preserve">(2) Im Hinblick auf die Zahlungen im Rahmen der Maßnahmen zur Entwicklung des ländlichen Raums nach der Verordnung (EU) 2021/2115 gilt dieses Gesetz nur, soweit ein Land die jeweilige Zahlung gewährt.</w:t>
      </w:r>
    </w:p>
    <w:p>
      <w:r>
        <w:rPr>
          <w:color w:val="555555"/>
          <w:sz w:val="17"/>
        </w:rPr>
        <w:t xml:space="preserve">Zitiervorschlag: § 1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