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GAPInVeKoSV — Sammelantrag; Ermächtigung zur Abfrage weiterer Angaben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Der Betriebsinhaber hat im Sammelantrag anzugeben, welche Direktzahlungen er beantragt. Der Betriebsinhaber hat hierzu die in den nachfolgenden Vorschriften festgelegten Angaben zu machen.</w:t>
      </w:r>
    </w:p>
    <w:p>
      <w:r>
        <w:t xml:space="preserve">(2) Der Sammelantrag soll die für die Prüfung der Förderfähigkeit oder der Konditionalität gegebenenfalls erforderlichen Nachweise oder Belege enthalten. Abweichend von Satz 1 kann die zuständige Behörde in geeigneten Fällen für die Vorlage eines oder mehrerer Nachweise oder Belege einen späteren Termin bestimmen.</w:t>
      </w:r>
    </w:p>
    <w:p>
      <w:r>
        <w:t xml:space="preserve">(3) Die zuständige Behörde kann weitere Angaben fordern, soweit dies zur Überprüfung der Antragsangaben erforderlich ist.</w:t>
      </w:r>
    </w:p>
    <w:p>
      <w:r>
        <w:rPr>
          <w:color w:val="555555"/>
          <w:sz w:val="17"/>
        </w:rPr>
        <w:t xml:space="preserve">Zitiervorschlag: § 7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