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50 GAPInVeKoSV — Inkrafttreten</w:t>
      </w:r>
    </w:p>
    <w:p>
      <w:r>
        <w:rPr>
          <w:color w:val="555555"/>
          <w:sz w:val="18"/>
        </w:rPr>
        <w:t xml:space="preserve">GAPInVeKoS-Verordnung</w:t>
      </w:r>
    </w:p>
    <w:p>
      <w:r>
        <w:rPr>
          <w:color w:val="555555"/>
          <w:sz w:val="18"/>
        </w:rPr>
        <w:t xml:space="preserve">Stand: 21.12.2022 (konsolidierte Textfassung, kein amtliches Inkrafttretensdatum)</w:t>
      </w:r>
    </w:p>
    <w:p>
      <w:r>
        <w:t xml:space="preserve">Diese Verordnung tritt am Tag nach der Verkündung in Kraft.</w:t>
      </w:r>
    </w:p>
    <w:p>
      <w:r>
        <w:rPr>
          <w:color w:val="555555"/>
          <w:sz w:val="17"/>
        </w:rPr>
        <w:t xml:space="preserve">Zitiervorschlag: § 50 GAPInVeKoSV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https://recht.nulegal.eu/gesetze/GAPInVeKoSV/50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