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GAPInVeKoSV — Reihenfolge der Abzüge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07.05.2025 (konsolidierte Textfassung, kein amtliches Inkrafttretensdatum)</w:t>
      </w:r>
    </w:p>
    <w:p>
      <w:r>
        <w:t xml:space="preserve">(1) Die Sanktionen nach den §§ 43 bis 46 sind für die jeweilige Direktzahlung, im Fall des § 20 Absatz 1 Nummer 1 des GAP-Direktzahlungen-Gesetzes für jede dort bezeichnete Maßnahme, in folgender Reihenfolge anzuwenden:</w:t>
      </w:r>
    </w:p>
    <w:p>
      <w:pPr>
        <w:ind w:left="420"/>
      </w:pPr>
      <w:r>
        <w:t xml:space="preserve">1. die Tiersanktion nach § 45,</w:t>
      </w:r>
    </w:p>
    <w:p>
      <w:pPr>
        <w:ind w:left="420"/>
      </w:pPr>
      <w:r>
        <w:t xml:space="preserve">2. die Übererklärungssanktion nach § 44,</w:t>
      </w:r>
    </w:p>
    <w:p>
      <w:pPr>
        <w:ind w:left="420"/>
      </w:pPr>
      <w:r>
        <w:t xml:space="preserve">3. die Fristsanktion nach § 46 und</w:t>
      </w:r>
    </w:p>
    <w:p>
      <w:pPr>
        <w:ind w:left="420"/>
      </w:pPr>
      <w:r>
        <w:t xml:space="preserve">4. die Nichtanmeldungssanktion nach § 43.</w:t>
      </w:r>
    </w:p>
    <w:p>
      <w:r>
        <w:t xml:space="preserve">(2) Die sich nach Absatz 1 ergebenden Beträge sind um den sich bei Anwendung des Artikels 17 der Verordnung (EU) 2021/2116 in der Fassung vom 7. Dezember 2022 ergebenden Betrag zu kürzen.</w:t>
      </w:r>
    </w:p>
    <w:p>
      <w:r>
        <w:t xml:space="preserve">(3) Sanktionen wegen Verstößen gegen Regelungen der Konditionalität oder der sozialen Konditionalität nach Kapitel 4 Abschnitt 2 des GAP-Konditionalitäten-Gesetzes werden auf den sich nach Absatz 2 ergebenden Betrag angewandt.</w:t>
      </w:r>
    </w:p>
    <w:p>
      <w:r>
        <w:rPr>
          <w:color w:val="555555"/>
          <w:sz w:val="17"/>
        </w:rPr>
        <w:t xml:space="preserve">Zitiervorschlag: § 47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