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GAPInVeKoSV — Verspätete Einreichung des Sammelantrags</w:t>
      </w:r>
    </w:p>
    <w:p>
      <w:r>
        <w:rPr>
          <w:color w:val="555555"/>
          <w:sz w:val="18"/>
        </w:rPr>
        <w:t xml:space="preserve">GAPInVeKoS-Verordnung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(1) Jede Direktzahlung ist zu kürzen, sofern der Sammelantrag nach Ablauf der in § 6 Absatz 1 des GAP-Integriertes Verwaltungs- und Kontrollsystem-Gesetzes genannten Frist eingereicht wird (Fristsanktion). Der Kürzungsbetrag beträgt für jeden Kalendertag, um den der Antrag verspätet eingereicht wird, ein Prozent der berechneten Direktzahlung.</w:t>
      </w:r>
    </w:p>
    <w:p>
      <w:r>
        <w:t xml:space="preserve">(2) Ein Antrag auf gekoppelte Einkommensstützung für den Sektor Schaf- und Ziegenfleisch oder für den Sektor Rind- und Kalbfleisch, der nach dem 15. Mai eingereicht wird, ist abzulehnen.</w:t>
      </w:r>
    </w:p>
    <w:p>
      <w:r>
        <w:t xml:space="preserve">(3) Wird der Sammelantrag nach dem 31. Mai eingereicht, ist er abzulehnen.</w:t>
      </w:r>
    </w:p>
    <w:p>
      <w:r>
        <w:rPr>
          <w:color w:val="555555"/>
          <w:sz w:val="17"/>
        </w:rPr>
        <w:t xml:space="preserve">Zitiervorschlag: § 46 GAPInVeKoSV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https://recht.nulegal.eu/gesetze/GAPInVeKoSV/46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