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GAPInVeKoSV — Informations-, Mitwirkungs- und Aufbewahrungspflichten</w:t>
      </w:r>
    </w:p>
    <w:p>
      <w:r>
        <w:rPr>
          <w:color w:val="555555"/>
          <w:sz w:val="18"/>
        </w:rPr>
        <w:t xml:space="preserve">GAPInVeKoS-Verordnung</w:t>
      </w:r>
    </w:p>
    <w:p>
      <w:r>
        <w:rPr>
          <w:color w:val="555555"/>
          <w:sz w:val="18"/>
        </w:rPr>
        <w:t xml:space="preserve">Stand: 19.08.2026 (konsolidierte Textfassung, kein amtliches Inkrafttretensdatum)</w:t>
      </w:r>
    </w:p>
    <w:p>
      <w:r>
        <w:t xml:space="preserve">(1) Der Betriebsinhaber ist verpflichtet, jede Veränderung, die dazu führt, dass die tatsächlichen oder rechtlichen Verhältnisse nicht mehr mit seinen Angaben oder Erklärungen im Antrag übereinstimmen, der zuständigen Behörde unverzüglich zu melden. Dies gilt insbesondere für den Abgang von Antragstieren Mutterkühe sowie Mutterschafe und -ziegen aufgrund natürlicher Lebensumstände und gegebenenfalls eines Ersatztiers, das zum Zeitpunkt der Antragstellung die Förderfähigkeitsbedingungen erfüllt hat. Eine Abgangsmeldung bei beantragten Mutterkühen in der elektronischen Datenbank “Herkunftssicherungs- und Informationssystem für Tiere (HI-Tier)“ gilt gemäß Artikel 7 Absatz 3 der Durchführungsverordnung (EU) 2022/1173 in der Fassung vom 1. Januar 2023 als Abgangsmeldung für den Mutterkuhantrag.</w:t>
      </w:r>
    </w:p>
    <w:p>
      <w:r>
        <w:t xml:space="preserve">(2) Der Betriebsinhaber ist verpflichtet, im Rahmen der Kontrollen mitzuwirken und angeforderte Belege vorzulegen. Insbesondere hat er den zuständigen Behörden</w:t>
      </w:r>
    </w:p>
    <w:p>
      <w:pPr>
        <w:ind w:left="420"/>
      </w:pPr>
      <w:r>
        <w:t xml:space="preserve">1. das Betreten der Geschäfts-, Betriebs- und Lagerräume sowie der Betriebsflächen während der Geschäfts- und Betriebszeiten zu gestatten,</w:t>
      </w:r>
    </w:p>
    <w:p>
      <w:pPr>
        <w:ind w:left="420"/>
      </w:pPr>
      <w:r>
        <w:t xml:space="preserve">2. auf Verlangen die in Betracht kommenden Bücher, Aufzeichnungen, Belege, Schriftstücke, Datenträger, Karten und sonstigen Unterlagen zur Einsicht bereitzustellen,</w:t>
      </w:r>
    </w:p>
    <w:p>
      <w:pPr>
        <w:ind w:left="420"/>
      </w:pPr>
      <w:r>
        <w:t xml:space="preserve">3. Auskunft zu erteilen,</w:t>
      </w:r>
    </w:p>
    <w:p>
      <w:pPr>
        <w:ind w:left="420"/>
      </w:pPr>
      <w:r>
        <w:t xml:space="preserve">4. Proben zur Verfügung zu stellen,</w:t>
      </w:r>
    </w:p>
    <w:p>
      <w:pPr>
        <w:ind w:left="420"/>
      </w:pPr>
      <w:r>
        <w:t xml:space="preserve">5. die erforderliche Unterstützung insbesondere bei der technischen Einbindung des Betriebsinhabers bei der Erstellung georeferenzierter Fotos mit den von der zuständigen Behörde vorgegebenen Verfahren zu gewähren und</w:t>
      </w:r>
    </w:p>
    <w:p>
      <w:pPr>
        <w:ind w:left="420"/>
      </w:pPr>
      <w:r>
        <w:t xml:space="preserve">6. durch aktive Mitwirkung seitens des Betriebsinhabers oder einer von ihm beauftragten Person die erforderliche Unterstützung bei Vor-Ort-Kontrollen im Zusammenhang mit Tierhaltungen, speziell im Umgang mit den beantragten Tieren, zu gewährleisten. Dabei ist besonders das Ablesen von Identifizierungsmitteln so zu gestalten, dass eine Gefährdung des Kontrollpersonals vermieden und die Unterscheidung bereits kontrollierter Tiere ermöglicht wird.</w:t>
      </w:r>
    </w:p>
    <w:p>
      <w:r>
        <w:t xml:space="preserve">(3) Soweit nach anderen Rechtsvorschriften keine längeren Aufbewahrungsfristen bestehen, ist der Betriebsinhaber verpflichtet, für die Antragstellung und Kontrollen erhebliche Unterlagen und Belege nach dieser Verordnung für die Dauer von sechs Jahren ab der Antragsbewilligung aufzubewahren. Für Rückstellproben und georeferenzierte Fotos endet die Aufbewahrungsfrist mit dem Ende des auf das Antragsjahr folgenden Jahres. Nach Handelsrecht vorgeschriebene Aufzeichnungen und Buchführungen können anstelle der nach Satz 1 vorgeschriebenen Verpflichtungen zum Zwecke der Überwachung nach dieser Verordnung verwendet werden.</w:t>
      </w:r>
    </w:p>
    <w:p>
      <w:r>
        <w:t xml:space="preserve">(4) Wird ein Betrieb ganz oder teilweise nach dem Einreichen des Sammelantrags an einen anderen übertragen, so gelten die Vorschriften der Absätze 1 bis 3 auch für den Rechtsnachfolger.</w:t>
      </w:r>
    </w:p>
    <w:p>
      <w:r>
        <w:t xml:space="preserve">(5) Der Betriebsinhaber hat der zuständigen Behörde für eine landwirtschaftliche Fläche, für die ein Antrag auf Direktzahlungen gestellt ist und die während des Kalenderjahres der Antragstellung nach der Antragstellung auch für eine nichtlandwirtschaftliche Tätigkeit genutzt werden soll, die Aufnahme dieser Tätigkeit mindestens drei Tage vorher zu melden unter Angabe</w:t>
      </w:r>
    </w:p>
    <w:p>
      <w:pPr>
        <w:ind w:left="420"/>
      </w:pPr>
      <w:r>
        <w:t xml:space="preserve">1. der Art der nichtlandwirtschaftlichen Tätigkeit und</w:t>
      </w:r>
    </w:p>
    <w:p>
      <w:pPr>
        <w:ind w:left="420"/>
      </w:pPr>
      <w:r>
        <w:t xml:space="preserve">2. des Beginns und des Endes der nichtlandwirtschaftlichen Tätigkeit.</w:t>
      </w:r>
    </w:p>
    <w:p>
      <w:r>
        <w:t xml:space="preserve">Ausgenommen von der Pflicht zur Angabe nach Satz 1 ist die Nutzung außerhalb der Vegetationsperiode</w:t>
      </w:r>
    </w:p>
    <w:p>
      <w:pPr>
        <w:ind w:left="420"/>
      </w:pPr>
      <w:r>
        <w:t xml:space="preserve">1. von Dauergrünlandflächen für die Lagerung von Holz,</w:t>
      </w:r>
    </w:p>
    <w:p>
      <w:pPr>
        <w:ind w:left="420"/>
      </w:pPr>
      <w:r>
        <w:t xml:space="preserve">2. von landwirtschaftlichen Flächen für den Wintersport.</w:t>
      </w:r>
    </w:p>
    <w:p>
      <w:r>
        <w:t xml:space="preserve">(6) Ausgenommen von der Pflicht zur Angabe nach Absatz 5 ist ferner</w:t>
      </w:r>
    </w:p>
    <w:p>
      <w:pPr>
        <w:ind w:left="420"/>
      </w:pPr>
      <w:r>
        <w:t xml:space="preserve">1. die Nutzung von landwirtschaftlichen Flächen zur Lagerung von Erzeugnissen aus der landwirtschaftlichen Tätigkeit des Betriebsinhabers oder von Betriebsmitteln für die landwirtschaftliche Tätigkeit des Betriebsinhabers, wenn die Erzeugnisse oder Betriebsmittel nicht länger als 90 aufeinanderfolgende Tage im Kalenderjahr gelagert werden,</w:t>
      </w:r>
    </w:p>
    <w:p>
      <w:pPr>
        <w:ind w:left="420"/>
      </w:pPr>
      <w:r>
        <w:t xml:space="preserve">2. die Nutzung landwirtschaftlicher Flächen im Rahmen von Pflegearbeiten an angrenzenden Gehölzen oder Gewässern einschließlich der Lagerung des dabei anfallenden Schnittgutes oder des Aushubs für nicht länger als 90 aufeinanderfolgende Tage.</w:t>
      </w:r>
    </w:p>
    <w:p>
      <w:r>
        <w:t xml:space="preserve">(7) Für die Mitteilung und den Nachweis eines Falles höherer Gewalt oder außergewöhnlicher Umstände gilt § 14 Absatz 4 des GAP-InVeKoS-Gesetzes entsprechend, soweit er nicht unmittelbar gilt.</w:t>
      </w:r>
    </w:p>
    <w:p>
      <w:r>
        <w:t xml:space="preserve">(8) Der Betriebsinhaber ist verpflichtet, das Pflügen einer Fläche, die mit Gras oder anderen Grünfutterpflanzen bewachsen ist, aber weder Dauergrünland ist noch als solches gilt, mit dem Ziel, die Fläche wieder mit Gras oder anderen Grünfutterpflanzen anzulegen, unter Angabe der Lage und Größe der Fläche und des Datums des Umpflügens spätestens einen Monat nach dem Pflügen bei der zuständigen Behörde nach dem von dieser vorgegebenen Verfahren anzuzeigen. Unterbleibt eine Anzeige nach Satz 1 oder erfolgt sie nach Ablauf der in Satz 1 genannten Frist, darf die zuständige Behörde außer in Fällen höherer Gewalt oder außergewöhnlicher Umstände das Pflügen nicht für die Bewertung einer Fläche im Hinblick auf die mögliche Entstehung oder Nichtentstehung von Dauergrünland berücksichtigen.</w:t>
      </w:r>
    </w:p>
    <w:p>
      <w:r>
        <w:rPr>
          <w:color w:val="555555"/>
          <w:sz w:val="17"/>
        </w:rPr>
        <w:t xml:space="preserve">Zitiervorschlag: § 41 GAPInVeKoSV</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