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39 GAPInVeKoSV — Auswahl der Kontrollstichproben</w:t>
      </w:r>
    </w:p>
    <w:p>
      <w:r>
        <w:rPr>
          <w:color w:val="555555"/>
          <w:sz w:val="18"/>
        </w:rPr>
        <w:t xml:space="preserve">GAPInVeKoS-Verordnung</w:t>
      </w:r>
    </w:p>
    <w:p>
      <w:r>
        <w:rPr>
          <w:color w:val="555555"/>
          <w:sz w:val="18"/>
        </w:rPr>
        <w:t xml:space="preserve">Stand: 21.12.2022 (konsolidierte Textfassung, kein amtliches Inkrafttretensdatum)</w:t>
      </w:r>
    </w:p>
    <w:p>
      <w:r>
        <w:t xml:space="preserve">Die Auswahl der Betriebsinhaber und Flächen nach § 38 für eine Kontrollstichprobe hat zu einem von der zuständigen Behörde festgelegten Anteil nach dem Zufallsprinzip zu erfolgen. Dieser soll grundsätzlich 20 bis 30 Prozent betragen. Der verbleibende Anteil ist auf Basis einer Risikoanalyse auszuwählen.</w:t>
      </w:r>
    </w:p>
    <w:p>
      <w:r>
        <w:rPr>
          <w:color w:val="555555"/>
          <w:sz w:val="17"/>
        </w:rPr>
        <w:t xml:space="preserve">Zitiervorschlag: § 39 GAPInVeKoSV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https://recht.nulegal.eu/gesetze/GAPInVeKoSV/39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