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GAPInVeKoSV — Mindestkontrollsatz</w:t>
      </w:r>
    </w:p>
    <w:p>
      <w:r>
        <w:rPr>
          <w:color w:val="555555"/>
          <w:sz w:val="18"/>
        </w:rPr>
        <w:t xml:space="preserve">GAPInVeKoS-Verordnung</w:t>
      </w:r>
    </w:p>
    <w:p>
      <w:r>
        <w:rPr>
          <w:color w:val="555555"/>
          <w:sz w:val="18"/>
        </w:rPr>
        <w:t xml:space="preserve">Stand: 07.05.2026 (konsolidierte Textfassung, kein amtliches Inkrafttretensdatum)</w:t>
      </w:r>
    </w:p>
    <w:p>
      <w:r>
        <w:t xml:space="preserve">Bei flächenbezogenen Direktzahlungen hat sich die Kontrolle nach diesem Unterabschnitt zu erstrecken auf mindestens</w:t>
      </w:r>
    </w:p>
    <w:p>
      <w:pPr>
        <w:ind w:left="420"/>
      </w:pPr>
      <w:r>
        <w:t xml:space="preserve">1. drei Prozent aller Betriebsinhaber, die die Umverteilungseinkommensstützung beantragt haben,</w:t>
      </w:r>
    </w:p>
    <w:p>
      <w:pPr>
        <w:ind w:left="420"/>
      </w:pPr>
      <w:r>
        <w:t xml:space="preserve">2. drei Prozent aller Betriebsinhaber, die die Junglandwirte-Einkommensstützung beantragt haben,</w:t>
      </w:r>
    </w:p>
    <w:p>
      <w:pPr>
        <w:ind w:left="420"/>
      </w:pPr>
      <w:r>
        <w:t xml:space="preserve">3. 15 Prozent der für den Hanfanbau angemeldeten Flächen,</w:t>
      </w:r>
    </w:p>
    <w:p>
      <w:pPr>
        <w:ind w:left="420"/>
      </w:pPr>
      <w:r>
        <w:t xml:space="preserve">4. drei Prozent der für den Hopfenanbau angemeldeten Flächen,</w:t>
      </w:r>
    </w:p>
    <w:p>
      <w:pPr>
        <w:ind w:left="420"/>
      </w:pPr>
      <w:r>
        <w:t xml:space="preserve">5. je drei Prozent aller Betriebsinhaber, die Zahlungen für eine oder mehrere Öko-Regelungen beantragt haben, für jede Öko-Regelung.</w:t>
      </w:r>
    </w:p>
    <w:p>
      <w:r>
        <w:rPr>
          <w:color w:val="555555"/>
          <w:sz w:val="17"/>
        </w:rPr>
        <w:t xml:space="preserve">Zitiervorschlag: § 38 GAPInVeKoSV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https://recht.nulegal.eu/gesetze/GAPInVeKoSV/38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