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33 GAPInVeKoSV — Vor-Ort-Kontrollen bei dem Flächenüberwachungssystem</w:t>
      </w:r>
    </w:p>
    <w:p>
      <w:r>
        <w:rPr>
          <w:color w:val="555555"/>
          <w:sz w:val="18"/>
        </w:rPr>
        <w:t xml:space="preserve">GAPInVeKoS-Verordnung</w:t>
      </w:r>
    </w:p>
    <w:p>
      <w:r>
        <w:rPr>
          <w:color w:val="555555"/>
          <w:sz w:val="18"/>
        </w:rPr>
        <w:t xml:space="preserve">Stand: 21.12.2022 (konsolidierte Textfassung, kein amtliches Inkrafttretensdatum)</w:t>
      </w:r>
    </w:p>
    <w:p>
      <w:r>
        <w:t xml:space="preserve">(1) Vor-Ort-Kontrollen können angekündigt werden, sofern dies ihrem Zweck oder ihrer Wirksamkeit nicht zuwiderläuft. Die Ankündigungsfrist soll 14 Kalendertage nicht überschreiten.</w:t>
      </w:r>
    </w:p>
    <w:p>
      <w:r>
        <w:t xml:space="preserve">(2) Können Fördervoraussetzungen bei einer einzigen Vor-Ort-Kontrolle nicht überprüft werden, so kann die zuständige Behörde weitere Vor-Ort-Kontrollen durchführen. Aus den betreffenden Betriebsinhabern ist eine Grundgesamtheit zu bilden. Aus dieser Grundgesamtheit ist bei mindestens fünf Prozent der Betriebsinhaber zumindest eine weitere Vor-Ort-Kontrolle zu einem späteren Zeitpunkt durchzuführen. Die Anzahl und Dauer ergänzender Vor-Ort-Kontrollen ist je Betriebsinhaber auf das erforderliche Mindestmaß zu begrenzen.</w:t>
      </w:r>
    </w:p>
    <w:p>
      <w:r>
        <w:rPr>
          <w:color w:val="555555"/>
          <w:sz w:val="17"/>
        </w:rPr>
        <w:t xml:space="preserve">Zitiervorschlag: § 33 GAPInVeKoSV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https://recht.nulegal.eu/gesetze/GAPInVeKoSV/33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