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GAPInVeKoSV — Ermittlung der Flächengröße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Die Flächengrößen sind im Rahmen der Verwaltungskontrollen zu ermitteln. Ergänzend soll eine Flächenvermessung vor Ort nur erfolgen, sofern</w:t>
      </w:r>
    </w:p>
    <w:p>
      <w:pPr>
        <w:ind w:left="420"/>
      </w:pPr>
      <w:r>
        <w:t xml:space="preserve">1. ohne weitere Prüfung und vorherige Vermessung ersichtlich ist, dass die im Sammelantrag angegebene Flächengröße nicht mit den tatsächlichen Gegebenheiten übereinstimmt, und</w:t>
      </w:r>
    </w:p>
    <w:p>
      <w:pPr>
        <w:ind w:left="420"/>
      </w:pPr>
      <w:r>
        <w:t xml:space="preserve">2. die Flächenabweichung nicht mit anderen Mitteln aufgeklärt werden kann.</w:t>
      </w:r>
    </w:p>
    <w:p>
      <w:r>
        <w:t xml:space="preserve">(2) Flächengrößen in Hektar sind auf die vierte Nachkommastelle zu ermitteln.</w:t>
      </w:r>
    </w:p>
    <w:p>
      <w:r>
        <w:rPr>
          <w:color w:val="555555"/>
          <w:sz w:val="17"/>
        </w:rPr>
        <w:t xml:space="preserve">Zitiervorschlag: § 29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