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GAPInVeKoSV — Mitteilungspflichten der Länder und der Bundesstellen</w:t>
      </w:r>
    </w:p>
    <w:p>
      <w:r>
        <w:rPr>
          <w:color w:val="555555"/>
          <w:sz w:val="18"/>
        </w:rPr>
        <w:t xml:space="preserve">GAPInVeKoS-Verordnung</w:t>
      </w:r>
    </w:p>
    <w:p>
      <w:r>
        <w:rPr>
          <w:color w:val="555555"/>
          <w:sz w:val="18"/>
        </w:rPr>
        <w:t xml:space="preserve">Stand: 07.05.2026 (konsolidierte Textfassung, kein amtliches Inkrafttretensdatum)</w:t>
      </w:r>
    </w:p>
    <w:p>
      <w:r>
        <w:t xml:space="preserve">(1) Die Länder haben, soweit der Anbau von Hopfen und Hanf betroffen ist, dem Bundesministerium für Landwirtschaft, Ernährung und Heimat die zur Erfüllung der der Bundesrepublik Deutschland gegenüber den Organen der Europäischen Union nach den in § 1 Nummer 1 und 2 genannten Rechtsakten obliegenden Mitteilungspflichten erforderlichen Angaben mitzuteilen.</w:t>
      </w:r>
    </w:p>
    <w:p>
      <w:r>
        <w:t xml:space="preserve">(2) Die zuständigen Behörden der Länder haben der Bundesanstalt bis zum 1. Juli des Jahres, in dem die Antragstellung erfolgt, mitzuteilen:</w:t>
      </w:r>
    </w:p>
    <w:p>
      <w:pPr>
        <w:ind w:left="420"/>
      </w:pPr>
      <w:r>
        <w:t xml:space="preserve">1. die Gesamtzahl der Hanfanbauflächen, für die eine Zahlung beantragt wurde,</w:t>
      </w:r>
    </w:p>
    <w:p>
      <w:pPr>
        <w:ind w:left="420"/>
      </w:pPr>
      <w:r>
        <w:t xml:space="preserve">2. alle Angaben, die zur Identifizierung der mit Hanf angebauten Flächen sowie des Betriebsinhabers erforderlich sind,</w:t>
      </w:r>
    </w:p>
    <w:p>
      <w:pPr>
        <w:ind w:left="420"/>
      </w:pPr>
      <w:r>
        <w:t xml:space="preserve">3. für jede der in Nummer 2 genannten Flächen die Hanfsorten, die auf der Fläche ausgesät wurden oder noch ausgesät werden sollen.</w:t>
      </w:r>
    </w:p>
    <w:p>
      <w:r>
        <w:t xml:space="preserve">(3) Soweit die zuständigen Behörden der Länder bei Kontrollen Abweichungen von den Angaben nach Absatz 2 Nummer 1 bis 3 feststellen, haben sie diese Abweichungen der Bundesanstalt mitzuteilen.</w:t>
      </w:r>
    </w:p>
    <w:p>
      <w:r>
        <w:t xml:space="preserve">(4) Die Bundesanstalt hat dem Bundessortenamt jährlich die Ergebnisse der Untersuchungen des Gehalts an Tetrahydrocannabinol mitzuteilen.</w:t>
      </w:r>
    </w:p>
    <w:p>
      <w:r>
        <w:t xml:space="preserve">(5) Die zuständigen Behörden der Länder haben der Bundesanstalt zur Durchführung und Kontrolle der Zahlungen an die anerkannten Erzeugerorganisationen im Hopfensektor die im Sammelantrag nach § 16 erhobenen Angaben ihrer jeweiligen mit Namen und Betriebsnummer nach § 9 Nummern 1, 5, 6 bis 8 identifizierten Hopfenerzeuger mitzuteilen. Die Bundesanstalt und die zuständigen Behörden der Länder haben sich gegenseitig über das Verfahren und die Ergebnisse der im Bereich des Anbaus von Hopfen durchgeführten Kontrollen zu unterrichten.</w:t>
      </w:r>
    </w:p>
    <w:p>
      <w:r>
        <w:rPr>
          <w:color w:val="555555"/>
          <w:sz w:val="17"/>
        </w:rPr>
        <w:t xml:space="preserve">Zitiervorschlag: § 27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