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GAPInVeKoSV — Nicht förderfähige Hanfsorten; Bekanntmachung</w:t>
      </w:r>
    </w:p>
    <w:p>
      <w:r>
        <w:rPr>
          <w:color w:val="555555"/>
          <w:sz w:val="18"/>
        </w:rPr>
        <w:t xml:space="preserve">GAPInVeKoS-Verordnung</w:t>
      </w:r>
    </w:p>
    <w:p>
      <w:r>
        <w:rPr>
          <w:color w:val="555555"/>
          <w:sz w:val="18"/>
        </w:rPr>
        <w:t xml:space="preserve">Stand: 21.12.2022 (konsolidierte Textfassung, kein amtliches Inkrafttretensdatum)</w:t>
      </w:r>
    </w:p>
    <w:p>
      <w:r>
        <w:t xml:space="preserve">Die Bundesanstalt hat die Hanfsorten, im Falle deren Anbaus eine Fläche nach § 11 Absatz 2 Nummer 2 der GAP-Direktzahlungen-Verordnung keine förderfähige Fläche für die Direktzahlungen mehr ist, bis zum 1. Januar des Antragsjahres im Bundesanzeiger bekannt zu machen, ab dem bei Anbau dieser Sorten keine Direktzahlungen mehr gewährt werden.</w:t>
      </w:r>
    </w:p>
    <w:p>
      <w:r>
        <w:rPr>
          <w:color w:val="555555"/>
          <w:sz w:val="17"/>
        </w:rPr>
        <w:t xml:space="preserve">Zitiervorschlag: § 26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