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GAPInVeKoSV — Meldungen über Hopfenflächen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03.08.2023 (konsolidierte Textfassung, kein amtliches Inkrafttretensdatum)</w:t>
      </w:r>
    </w:p>
    <w:p>
      <w:r>
        <w:t xml:space="preserve">Die Bundesanstalt hat den anerkannten Erzeugerorganisationen im Hopfensektor vor dem 30. September jedes Jahres die nach § 16 erhobenen und der Bundesanstalt seitens der zuständigen Behörden der Länder nach § 27 Absatz 5 mitgeteilten Angaben ihrer jeweiligen mit Namen und Betriebsnummer nach § 9 Nummer 1, 5, 6 bis 8 identifizierten Mitglieder zu den Hopfenflächen zu übermitteln. Die anerkannten Erzeugerorganisationen im Hopfensektor dürfen diese Daten ausschließlich zur Identifizierung der landwirtschaftlichen Parzellen nach Artikel 62 Absatz 1 der Verordnung (EU) 2021/2115 im Rahmen der Antragstellung nach einer auf Grund des § 2 Absatz 5 des Hopfengesetzes erlassenen Verordnung verwenden.</w:t>
      </w:r>
    </w:p>
    <w:p>
      <w:r>
        <w:rPr>
          <w:color w:val="555555"/>
          <w:sz w:val="17"/>
        </w:rPr>
        <w:t xml:space="preserve">Zitiervorschlag: § 24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