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GAPInVeKoSV — Änderung des Sammelantrags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07.05.2025 (konsolidierte Textfassung, kein amtliches Inkrafttretensdatum)</w:t>
      </w:r>
    </w:p>
    <w:p>
      <w:r>
        <w:t xml:space="preserve">(1) Der einheitliche letzte Termin nach Artikel 7 der Durchführungsverordnung (EU) 2022/1173 zur Änderung oder vollständigen oder teilweisen Rücknahme des Sammelantrags ist unbeschadet der dort geregelten Einschränkungen der 30. September des Antragsjahres.</w:t>
      </w:r>
    </w:p>
    <w:p>
      <w:r>
        <w:t xml:space="preserve">(2) Bis zum 31. Mai eines Antragsjahres können landwirtschaftliche Parzellen und Flächen nach § 11 Absatz 1 nachgemeldet werden.</w:t>
      </w:r>
    </w:p>
    <w:p>
      <w:r>
        <w:t xml:space="preserve">(3) Die Änderung eines Sammelantrags durch die Nachmeldung von Tieren, für die die Zahlung für Mutterschafe und -ziegen oder die Zahlung für Mutterkühe beantragt wird, ist nur bis einschließlich 15. Mai zulässig.</w:t>
      </w:r>
    </w:p>
    <w:p>
      <w:r>
        <w:rPr>
          <w:color w:val="555555"/>
          <w:sz w:val="17"/>
        </w:rPr>
        <w:t xml:space="preserve">Zitiervorschlag: § 22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