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GAPInVeKoSV — Besondere Angaben bei Anbau von Hopfen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Sofern der Betriebsinhaber Hopfenerzeuger ist, hat er im Sammelantrag zusätzlich anzugeben,</w:t>
      </w:r>
    </w:p>
    <w:p>
      <w:pPr>
        <w:ind w:left="420"/>
      </w:pPr>
      <w:r>
        <w:t xml:space="preserve">1. ob und welcher anerkannten Hopfenerzeugerorganisation er angehört und</w:t>
      </w:r>
    </w:p>
    <w:p>
      <w:pPr>
        <w:ind w:left="420"/>
      </w:pPr>
      <w:r>
        <w:t xml:space="preserve">2. für jede Fläche, auf der Hopfen angebaut wird, welche Hopfensorten er anbaut.</w:t>
      </w:r>
    </w:p>
    <w:p>
      <w:r>
        <w:rPr>
          <w:color w:val="555555"/>
          <w:sz w:val="17"/>
        </w:rPr>
        <w:t xml:space="preserve">Zitiervorschlag: § 16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