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GAPInVeKoSV — Besondere Angaben und Unterlagen bei Anbau von Nutzhanf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(1) Sofern der Betriebsinhaber Direktzahlungen für Flächen beantragt, auf denen Hanf angebaut werden soll, hat er einzureichen:</w:t>
      </w:r>
    </w:p>
    <w:p>
      <w:pPr>
        <w:ind w:left="420"/>
      </w:pPr>
      <w:r>
        <w:t xml:space="preserve">1. das amtliche Etikett des Saatguts nach § 29 Absatz 2 der Saatgutverordnung oder</w:t>
      </w:r>
    </w:p>
    <w:p>
      <w:pPr>
        <w:ind w:left="420"/>
      </w:pPr>
      <w:r>
        <w:t xml:space="preserve">2. das Etikett nach § 9 der Erhaltungssortenverordnung, sofern es sich um eine Erhaltungssorte handelt.</w:t>
      </w:r>
    </w:p>
    <w:p>
      <w:r>
        <w:t xml:space="preserve">(2) Bei einer Aussaat des Hanfs nach dem 30. Juni des Antragsjahres ist das Etikett des Saatguts nach Absatz 1 bis spätestens zum 1. September des Antragsjahres einzureichen.</w:t>
      </w:r>
    </w:p>
    <w:p>
      <w:r>
        <w:t xml:space="preserve">(3) Bezieht sich das nach Absatz 1 oder 2 einzureichende Etikett auf Saatgut, das von mehreren Betriebsinhabern verwendet wurde, so</w:t>
      </w:r>
    </w:p>
    <w:p>
      <w:pPr>
        <w:ind w:left="420"/>
      </w:pPr>
      <w:r>
        <w:t xml:space="preserve">1. ist das Etikett nach Wahl der betroffenen Betriebsinhaber von einem der Betriebsinhaber einzureichen und</w:t>
      </w:r>
    </w:p>
    <w:p>
      <w:pPr>
        <w:ind w:left="420"/>
      </w:pPr>
      <w:r>
        <w:t xml:space="preserve">2. ist von jedem der Betriebsinhaber zugleich eine Erklärung über die Aufteilung des Saatguts vorzulegen.</w:t>
      </w:r>
    </w:p>
    <w:p>
      <w:r>
        <w:rPr>
          <w:color w:val="555555"/>
          <w:sz w:val="17"/>
        </w:rPr>
        <w:t xml:space="preserve">Zitiervorschlag: § 15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