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GAPInVeKoSV — Besondere Angaben bei einem Antrag auf Zahlungen für Öko-Regelungen</w:t>
      </w:r>
    </w:p>
    <w:p>
      <w:r>
        <w:rPr>
          <w:color w:val="555555"/>
          <w:sz w:val="18"/>
        </w:rPr>
        <w:t xml:space="preserve">GAPInVeKoS-Verordnung</w:t>
      </w:r>
    </w:p>
    <w:p>
      <w:r>
        <w:rPr>
          <w:color w:val="555555"/>
          <w:sz w:val="18"/>
        </w:rPr>
        <w:t xml:space="preserve">Stand: 07.05.2026 (konsolidierte Textfassung, kein amtliches Inkrafttretensdatum)</w:t>
      </w:r>
    </w:p>
    <w:p>
      <w:r>
        <w:t xml:space="preserve">Sofern der Betriebsinhaber Zahlungen für eine Öko-Regelung oder mehrere Öko-Regelungen beantragt, hat er im Sammelantrag zusätzlich folgende Angaben zu machen und folgende Erklärungen beizufügen:</w:t>
      </w:r>
    </w:p>
    <w:p>
      <w:pPr>
        <w:ind w:left="420"/>
      </w:pPr>
      <w:r>
        <w:t xml:space="preserve">1. eine Erklärung, zur Einhaltung welcher Öko-Regelung oder Öko-Regelungen er sich verpflichtet,</w:t>
      </w:r>
    </w:p>
    <w:p>
      <w:pPr>
        <w:ind w:left="420"/>
      </w:pPr>
      <w:r>
        <w:t xml:space="preserve">2. bei einem Antrag auf Zahlungen für eine Öko-Regelung nach</w:t>
      </w:r>
    </w:p>
    <w:p>
      <w:pPr>
        <w:ind w:left="780"/>
      </w:pPr>
      <w:r>
        <w:t xml:space="preserve">a) § 20 Absatz 1 Nummer 1 Buchstabe a des GAP-Direktzahlungen-Gesetzes: Flächen nach Lage und Größe und, sofern diese Flächen mehr als 8 Prozent des förderfähigen Ackerlandes des Betriebes, aber nicht mehr als 1 Hektar, ausmachen und kein Fall der Anlage 5 Nummer 1.1.1 Satz 3 Buchstabe a oder b der GAP-Direktzahlungen-Verordnung vorliegt, die Erklärung, dass dem Betriebsinhaber für mindestens eine Fläche, die er im Sammelantrag nach § 5 des GAP-Integriertes Verwaltungs- und Kontrollsystem-Gesetzes für das Antragsjahr angegeben hat, eine im Antragsjahr gültige Wiederbepflanzungsgenehmigung gemäß § 6 Absatz 1 Satz 1 des Weingesetzes erteilt worden ist,</w:t>
      </w:r>
    </w:p>
    <w:p>
      <w:pPr>
        <w:ind w:left="780"/>
      </w:pPr>
      <w:r>
        <w:t xml:space="preserve">b) § 20 Absatz 1 Nummer 1 Buchstabe b des GAP-Direktzahlungen-Gesetzes: Blühflächen und -streifen nach Lage und Größe und Angabe des Jahres der Aussaat sowie der Kategorie der Saatgutmischung nach Nummer 1.2.5 der Anlage 5 zur GAP-Direktzahlungen-Verordnung,</w:t>
      </w:r>
    </w:p>
    <w:p>
      <w:pPr>
        <w:ind w:left="780"/>
      </w:pPr>
      <w:r>
        <w:t xml:space="preserve">c) § 20 Absatz 1 Nummer 1 Buchstabe c des GAP-Direktzahlungen-Gesetzes: die Angaben nach Buchstabe b,</w:t>
      </w:r>
    </w:p>
    <w:p>
      <w:pPr>
        <w:ind w:left="780"/>
      </w:pPr>
      <w:r>
        <w:t xml:space="preserve">d) § 20 Absatz 1 Nummer 1 Buchstabe d des GAP-Direktzahlungen-Gesetzes: Altgrasstreifen und -flächen nach Lage und Größe,</w:t>
      </w:r>
    </w:p>
    <w:p>
      <w:pPr>
        <w:ind w:left="780"/>
      </w:pPr>
      <w:r>
        <w:t xml:space="preserve">e) § 20 Absatz 1 Nummer 2 des GAP-Direktzahlungen-Gesetzes: für das gesamte Ackerland mit Ausnahme des brachliegenden Ackerlandes die Kulturarten nach Nutzungscode, die im Zeitraum vom 1. Juni bis zum 15. Juli des Antragsjahres am längsten auf der jeweiligen Fläche stehen als Hauptfruchtart im Sinne der Anlage 5 Nummer 2 zur GAP-Direktzahlungen-Verordnung sowie die Flächen nach Lage und Größe,</w:t>
      </w:r>
    </w:p>
    <w:p>
      <w:pPr>
        <w:ind w:left="780"/>
      </w:pPr>
      <w:r>
        <w:t xml:space="preserve">f) § 20 Absatz 1 Nummer 3 des GAP-Direktzahlungen-Gesetzes: Flächen der Gehölzstreifen nach Lage und Größe, Anzahl der Gehölzstreifen,</w:t>
      </w:r>
    </w:p>
    <w:p>
      <w:pPr>
        <w:ind w:left="780"/>
      </w:pPr>
      <w:r>
        <w:t xml:space="preserve">g) § 20 Absatz 1 Nummer 4 des GAP-Direktzahlungen-Gesetzes: voraussichtliche durchschnittliche Tierzahl je raufutterfressender Tierart gemäß dem in Anlage 5 Nummer 4.2 der GAP-Direktzahlungen-Verordnung aufgeführten Berechnungsschlüssel im Antragsjahr im Gesamtbetrieb und die Dauergrünlandflächen nach Lage und Größe,</w:t>
      </w:r>
    </w:p>
    <w:p>
      <w:pPr>
        <w:ind w:left="780"/>
      </w:pPr>
      <w:r>
        <w:t xml:space="preserve">h) § 20 Absatz 1 Nummer 5 des GAP-Direktzahlungen-Gesetzes: Flächen nach Lage und Größe und die Erklärung, dass mindestens vier der zulässigen Pflanzenarten oder Artengruppen aus der vom Belegenheitsland der Fläche durch Rechtsverordnung auf Grund von § 17 Absatz 3 der GAP-Direktzahlungen-Verordnung geregelten Liste der Kennarten oder Kennartengruppen des artenreichen Grünlands auf diesen Flächen vorkommen,</w:t>
      </w:r>
    </w:p>
    <w:p>
      <w:pPr>
        <w:ind w:left="780"/>
      </w:pPr>
      <w:r>
        <w:t xml:space="preserve">i) § 20 Absatz 1 Nummer 6 des GAP-Direktzahlungen-Gesetzes: Flächen nach Lage und Größe,</w:t>
      </w:r>
    </w:p>
    <w:p>
      <w:pPr>
        <w:ind w:left="780"/>
      </w:pPr>
      <w:r>
        <w:t xml:space="preserve">j) § 20 Absatz 1 Nummer 7 des GAP-Direktzahlungen-Gesetzes: Flächen nach Lage und Größe.</w:t>
      </w:r>
    </w:p>
    <w:p>
      <w:r>
        <w:rPr>
          <w:color w:val="555555"/>
          <w:sz w:val="17"/>
        </w:rPr>
        <w:t xml:space="preserve">Zitiervorschlag: § 13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