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GAPInVeKoSV — Flächenbezogene Angaben</w:t>
      </w:r>
    </w:p>
    <w:p>
      <w:r>
        <w:rPr>
          <w:color w:val="555555"/>
          <w:sz w:val="18"/>
        </w:rPr>
        <w:t xml:space="preserve">GAPInVeKoS-Verordnung</w:t>
      </w:r>
    </w:p>
    <w:p>
      <w:r>
        <w:rPr>
          <w:color w:val="555555"/>
          <w:sz w:val="18"/>
        </w:rPr>
        <w:t xml:space="preserve">Stand: 07.05.2025 (konsolidierte Textfassung, kein amtliches Inkrafttretensdatum)</w:t>
      </w:r>
    </w:p>
    <w:p>
      <w:r>
        <w:t xml:space="preserve">(1) Der Betriebsinhaber hat unter Angabe der von der zuständigen Behörde vorgesehenen Nutzungscodes folgende Informationen im Sammelantrag anzugeben:</w:t>
      </w:r>
    </w:p>
    <w:p>
      <w:pPr>
        <w:ind w:left="420"/>
      </w:pPr>
      <w:r>
        <w:t xml:space="preserve">1. alle landwirtschaftlichen Parzellen des Betriebes,</w:t>
      </w:r>
    </w:p>
    <w:p>
      <w:pPr>
        <w:ind w:left="420"/>
      </w:pPr>
      <w:r>
        <w:t xml:space="preserve">2. sämtliche Flächen des Betriebes nach § 11 Absatz 1 Nummer 3 der GAP-Direktzahlungen-Verordnung.</w:t>
      </w:r>
    </w:p>
    <w:p>
      <w:r>
        <w:t xml:space="preserve">Er hat dabei besonders zu bezeichnen:</w:t>
      </w:r>
    </w:p>
    <w:p>
      <w:pPr>
        <w:ind w:left="420"/>
      </w:pPr>
      <w:r>
        <w:t xml:space="preserve">1. Flächen, die für den Anbau von Hanf genutzt werden, unter Angabe der Saatgutsorte und der verwendeten Saatgutmengen in Kilogramm je Hektar,</w:t>
      </w:r>
    </w:p>
    <w:p>
      <w:pPr>
        <w:ind w:left="420"/>
      </w:pPr>
      <w:r>
        <w:t xml:space="preserve">2. Dauergrünlandflächen,</w:t>
      </w:r>
    </w:p>
    <w:p>
      <w:pPr>
        <w:ind w:left="420"/>
      </w:pPr>
      <w:r>
        <w:t xml:space="preserve">3. nicht unter Nummer 2 erfasste Flächen, die für den Anbau von Gras oder anderen Grünfutterpflanzen genutzt werden,</w:t>
      </w:r>
    </w:p>
    <w:p>
      <w:pPr>
        <w:ind w:left="420"/>
      </w:pPr>
      <w:r>
        <w:t xml:space="preserve">4. landwirtschaftliche Flächen, die nicht für eine landwirtschaftliche Tätigkeit nach § 3 Absatz 1 Nummer 1 und 2 der GAP-Direktzahlungen-Verordnung genutzt werden,</w:t>
      </w:r>
    </w:p>
    <w:p>
      <w:pPr>
        <w:ind w:left="420"/>
      </w:pPr>
      <w:r>
        <w:t xml:space="preserve">5. Flächen nach § 11 Absatz 1 Nummer 3 der GAP-Direktzahlungen-Verordnung, getrennt nach den Buchstaben a, b, c und d,</w:t>
      </w:r>
    </w:p>
    <w:p>
      <w:pPr>
        <w:ind w:left="420"/>
      </w:pPr>
      <w:r>
        <w:t xml:space="preserve">6. Flächen, für die ein Antrag auf Einkommensgrundstützung gestellt wird,</w:t>
      </w:r>
    </w:p>
    <w:p>
      <w:pPr>
        <w:ind w:left="420"/>
      </w:pPr>
      <w:r>
        <w:t xml:space="preserve">7. landwirtschaftliche Flächen mit ökologischem Landbau nach der Verordnung (EU) 2018/848</w:t>
      </w:r>
    </w:p>
    <w:p>
      <w:pPr>
        <w:ind w:left="420"/>
      </w:pPr>
      <w:r>
        <w:t xml:space="preserve">8. landwirtschaftliche Flächen mit Agri-Photovoltaik-Anlagen im Sinne des § 12 Absatz 5 der GAP-Direktzahlungen-Verordnung,</w:t>
      </w:r>
    </w:p>
    <w:p>
      <w:pPr>
        <w:ind w:left="420"/>
      </w:pPr>
      <w:r>
        <w:t xml:space="preserve">9. mit anderen Betriebsinhabern gemeinsam genutzte Flächen unter Angabe seines Anteils an der Nutzung,</w:t>
      </w:r>
    </w:p>
    <w:p>
      <w:pPr>
        <w:ind w:left="420"/>
      </w:pPr>
      <w:r>
        <w:t xml:space="preserve">10. Flächen, die voraussichtlich nicht jederzeit während des Kalenderjahres die Voraussetzungen einer förderfähigen Fläche gemäß § 11 GAPDZV erfüllen werden.</w:t>
      </w:r>
    </w:p>
    <w:p>
      <w:r>
        <w:t xml:space="preserve">Sofern eine Fläche, die für den Anbau von Hanf genutzt werden soll, nicht bereits nach den Bestimmungen des Satzes 2 besonders zu bezeichnen ist, ist diese zusätzlich besonders zu bezeichnen und die für die Aussaat vorgesehene Sorte anzugeben.</w:t>
      </w:r>
    </w:p>
    <w:p>
      <w:r>
        <w:t xml:space="preserve">(2) Im Falle der Nutzung einer landwirtschaftlichen Fläche, für die ein Antrag auf Direktzahlungen gestellt wird, auch für eine nichtlandwirtschaftliche Tätigkeit, die vor dem Zeitpunkt der Antragstellung im Antragsjahr begonnen oder stattgefunden hat, hat der Betriebsinhaber im Sammelantrag Folgendes anzugeben:</w:t>
      </w:r>
    </w:p>
    <w:p>
      <w:pPr>
        <w:ind w:left="420"/>
      </w:pPr>
      <w:r>
        <w:t xml:space="preserve">1. die Art der nichtlandwirtschaftlichen Tätigkeit und</w:t>
      </w:r>
    </w:p>
    <w:p>
      <w:pPr>
        <w:ind w:left="420"/>
      </w:pPr>
      <w:r>
        <w:t xml:space="preserve">2. den Beginn und das Ende der nichtlandwirtschaftlichen Tätigkeit.</w:t>
      </w:r>
    </w:p>
    <w:p>
      <w:r>
        <w:t xml:space="preserve">(3) Ausgenommen von der Pflicht zur Angabe nach Absatz 2 ist die Nutzung folgender Flächen außerhalb der Vegetationsperiode:</w:t>
      </w:r>
    </w:p>
    <w:p>
      <w:pPr>
        <w:ind w:left="420"/>
      </w:pPr>
      <w:r>
        <w:t xml:space="preserve">1. Dauergrünlandflächen für die Lagerung von Holz,</w:t>
      </w:r>
    </w:p>
    <w:p>
      <w:pPr>
        <w:ind w:left="420"/>
      </w:pPr>
      <w:r>
        <w:t xml:space="preserve">2. landwirtschaftliche Flächen für Wintersport.</w:t>
      </w:r>
    </w:p>
    <w:p>
      <w:r>
        <w:t xml:space="preserve">Ausgenommen von der Pflicht zur Angabe nach Absatz 2 ist ferner</w:t>
      </w:r>
    </w:p>
    <w:p>
      <w:pPr>
        <w:ind w:left="420"/>
      </w:pPr>
      <w:r>
        <w:t xml:space="preserve">1. die Nutzung landwirtschaftlicher Flächen zur Lagerung von Erzeugnissen aus der landwirtschaftlichen Tätigkeit des Betriebsinhabers oder von Betriebsmitteln für die landwirtschaftliche Tätigkeit des Betriebsinhabers, sofern die Erzeugnisse oder Betriebsmittel nicht länger als 90 aufeinanderfolgende Tage im Kalenderjahr gelagert werden,</w:t>
      </w:r>
    </w:p>
    <w:p>
      <w:pPr>
        <w:ind w:left="420"/>
      </w:pPr>
      <w:r>
        <w:t xml:space="preserve">2. die Nutzung landwirtschaftlicher Flächen im Rahmen von Pflegearbeiten an angrenzenden Gehölzen oder Gewässern einschließlich der Lagerung des dabei anfallenden Schnittgutes oder des Aushubs für nicht länger als 90 aufeinanderfolgende Tage.</w:t>
      </w:r>
    </w:p>
    <w:p>
      <w:r>
        <w:t xml:space="preserve">(4) Im Falle der Nutzung einer landwirtschaftlichen Fläche, für die ein Antrag auf Direktzahlungen gestellt wird, mit einer Anlage zur Nutzung solarer Strahlungsenergie, ist ein geeigneter Nachweis vorzulegen, sofern geltend gemacht wird, dass es sich bei dieser Anlage um eine Agri-Photovoltaik-Anlage nach § 12 Absatz 5 der GAP-Direktzahlungen-Verordnung handelt. Von dem Nachweis nach Satz 1 ist abzusehen, sofern ein weiterhin zutreffender Nachweis bereits früher vorgelegt wurde.</w:t>
      </w:r>
    </w:p>
    <w:p>
      <w:r>
        <w:t xml:space="preserve">(5) Sofern Landschaftselemente, die nach § 11 Absatz 1 Nummer 2 der GAP-Direktzahlungen-Verordnung zur förderfähigen Fläche gehören und über die ein Betriebsinhaber verfügt, oder Teile dieser Landschaftselemente sowohl an eine Dauergrünlandfläche oder Dauerkulturfläche, als auch an eine Ackerfläche desselben Betriebsinhabers angrenzen, hat der Betriebsinhaber bei der Angabe im Sammelantrag diese Landschaftselemente oder Teile der Landschaftselemente der Dauergrünlandfläche, der Dauerkulturfläche oder der Ackerfläche zuzuordnen. Satz 1 gilt entsprechend für Landschaftselemente, die zwischen Dauerkulturflächen und Dauergrünland liegen.</w:t>
      </w:r>
    </w:p>
    <w:p>
      <w:r>
        <w:rPr>
          <w:color w:val="555555"/>
          <w:sz w:val="17"/>
        </w:rPr>
        <w:t xml:space="preserve">Zitiervorschlag: § 11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