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GAPInVeKoSV — Anwendungsbereich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Diese Verordnung dient der Durchführung</w:t>
      </w:r>
    </w:p>
    <w:p>
      <w:pPr>
        <w:ind w:left="420"/>
      </w:pPr>
      <w:r>
        <w:t xml:space="preserve">1. der Verordnung (EU) 2021/2116 sowie der zu ihrer Durchführung erlassenen Rechtsakte hinsichtlich des Integrierten Verwaltungs- und Kontrollsystems, soweit es nicht anzuwenden ist auf die Interventionskategorien nach Titel III Kapitel IV der Verordnung (EU) 2021/2115</w:t>
      </w:r>
    </w:p>
    <w:p>
      <w:pPr>
        <w:ind w:left="420"/>
      </w:pPr>
      <w:r>
        <w:t xml:space="preserve">2. der Verordnung (EU) 2021/2115 und der im Rahmen dieses Rechtsakts und zu seiner Durchführung erlassenen Rechtsakte hinsichtlich der Beihilfezahlungen an anerkannte Erzeugerorganisationen im Hopfensektor,</w:t>
      </w:r>
    </w:p>
    <w:p>
      <w:pPr>
        <w:ind w:left="420"/>
      </w:pPr>
      <w:r>
        <w:t xml:space="preserve">3. des GAP-Integriertes Verwaltungs- und Kontrollsystem-Gesetzes,</w:t>
      </w:r>
    </w:p>
    <w:p>
      <w:pPr>
        <w:ind w:left="420"/>
      </w:pPr>
      <w:r>
        <w:t xml:space="preserve">4. des GAP-Direktzahlungen-Gesetzes und der GAP-Direktzahlungen-Verordnung hinsichtlich der Direktzahlungen für</w:t>
      </w:r>
    </w:p>
    <w:p>
      <w:pPr>
        <w:ind w:left="780"/>
      </w:pPr>
      <w:r>
        <w:t xml:space="preserve">a) die Einkommensgrundstützung,</w:t>
      </w:r>
    </w:p>
    <w:p>
      <w:pPr>
        <w:ind w:left="780"/>
      </w:pPr>
      <w:r>
        <w:t xml:space="preserve">b) die Umverteilungseinkommensstützung,</w:t>
      </w:r>
    </w:p>
    <w:p>
      <w:pPr>
        <w:ind w:left="780"/>
      </w:pPr>
      <w:r>
        <w:t xml:space="preserve">c) die Junglandwirte-Einkommensstützung,</w:t>
      </w:r>
    </w:p>
    <w:p>
      <w:pPr>
        <w:ind w:left="780"/>
      </w:pPr>
      <w:r>
        <w:t xml:space="preserve">d) alle Öko-Regelungen,</w:t>
      </w:r>
    </w:p>
    <w:p>
      <w:pPr>
        <w:ind w:left="780"/>
      </w:pPr>
      <w:r>
        <w:t xml:space="preserve">e) alle gekoppelten Einkommensstützungen,</w:t>
      </w:r>
    </w:p>
    <w:p>
      <w:pPr>
        <w:ind w:left="420"/>
      </w:pPr>
      <w:r>
        <w:t xml:space="preserve">5. des GAP-Konditionalitäten-Gesetzes und der zu seiner Durchführung erlassenen Rechtsverordnung.</w:t>
      </w:r>
    </w:p>
    <w:p>
      <w:r>
        <w:rPr>
          <w:color w:val="555555"/>
          <w:sz w:val="17"/>
        </w:rPr>
        <w:t xml:space="preserve">Zitiervorschlag: § 1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