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GAPInVeKoSG — Betriebsnummer</w:t>
      </w:r>
    </w:p>
    <w:p>
      <w:r>
        <w:rPr>
          <w:color w:val="555555"/>
          <w:sz w:val="18"/>
        </w:rPr>
        <w:t xml:space="preserve">GAP-Integriertes Verwaltungs- und Kontrollsystem-Gesetz</w:t>
      </w:r>
    </w:p>
    <w:p>
      <w:r>
        <w:rPr>
          <w:color w:val="555555"/>
          <w:sz w:val="18"/>
        </w:rPr>
        <w:t xml:space="preserve">Stand: 16.12.2022 (konsolidierte Textfassung, kein amtliches Inkrafttretensdatum)</w:t>
      </w:r>
    </w:p>
    <w:p>
      <w:r>
        <w:t xml:space="preserve">(1) Die zuständige Behörde teilt jedem Betriebsinhaber für die in § 1 Absatz 1 Nummer 1 und Absatz 2 genannten Vorschriften und jedem Antragsteller für die in § 1 Absatz 1 Nummer 2 Buchstabe b und c genannten Zahlungen zu Zwecken der Identifizierung eine Nummer zu (Betriebsnummer).</w:t>
      </w:r>
    </w:p>
    <w:p>
      <w:r>
        <w:t xml:space="preserve">(2) Die zuständige Behörde teilt auf Antrag jedem Mitglied einer Erzeugerorganisation im Sektor Obst und Gemüse gemäß den in § 1 Absatz 1 Nummer 2 Buchstabe a genannten Regelungen zum Zwecke der Identifizierung eine Betriebsnummer zu, sofern das Mitglied Erzeuger ist und nicht bereits über eine Betriebsnummer verfügt.</w:t>
      </w:r>
    </w:p>
    <w:p>
      <w:r>
        <w:rPr>
          <w:color w:val="555555"/>
          <w:sz w:val="17"/>
        </w:rPr>
        <w:t xml:space="preserve">Zitiervorschlag: § 7 GAPInVeKoSG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https://recht.nulegal.eu/gesetze/GAPInVeKoSG/7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