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GAPInVeKoSG — Kommunikation zwischen zuständiger Behörde und Betriebsinhaber</w:t>
      </w:r>
    </w:p>
    <w:p>
      <w:r>
        <w:rPr>
          <w:color w:val="555555"/>
          <w:sz w:val="18"/>
        </w:rPr>
        <w:t xml:space="preserve">GAP-Integriertes Verwaltungs- und Kontrollsystem-Gesetz</w:t>
      </w:r>
    </w:p>
    <w:p>
      <w:r>
        <w:rPr>
          <w:color w:val="555555"/>
          <w:sz w:val="18"/>
        </w:rPr>
        <w:t xml:space="preserve">Stand: 16.12.2022 (konsolidierte Textfassung, kein amtliches Inkrafttretensdatum)</w:t>
      </w:r>
    </w:p>
    <w:p>
      <w:r>
        <w:t xml:space="preserve">(1) Die Kommunikation zwischen der zuständigen Behörde und dem Betriebsinhaber erfolgt elektronisch. Die zuständige Behörde kann in Einzelfällen Ausnahmen hiervon zulassen.</w:t>
      </w:r>
    </w:p>
    <w:p>
      <w:r>
        <w:t xml:space="preserve">(2) Soweit die zuständigen Behörden für Anträge, Verträge, Erklärungen oder Meldungen Muster bekanntgeben oder Vordrucke oder Formulare auch elektronisch bereithalten, sind diese zu verwenden.</w:t>
      </w:r>
    </w:p>
    <w:p>
      <w:r>
        <w:rPr>
          <w:color w:val="555555"/>
          <w:sz w:val="17"/>
        </w:rPr>
        <w:t xml:space="preserve">Zitiervorschlag: § 4 GAPInVeKoSG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