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GAPInVeKoSG — Integriertes Verwaltungs- und Kontrollsystem</w:t>
      </w:r>
    </w:p>
    <w:p>
      <w:r>
        <w:rPr>
          <w:color w:val="555555"/>
          <w:sz w:val="18"/>
        </w:rPr>
        <w:t xml:space="preserve">GAP-Integriertes Verwaltungs- und Kontrollsystem-Gesetz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Das Integrierte Verwaltungs- und Kontrollsystem gemäß der in § 1 Absatz 1 Nummer 1 genannten Unionsregelung umfasst</w:t>
      </w:r>
    </w:p>
    <w:p>
      <w:pPr>
        <w:ind w:left="420"/>
      </w:pPr>
      <w:r>
        <w:t xml:space="preserve">1. ein System zur Identifizierung landwirtschaftlicher Parzellen,</w:t>
      </w:r>
    </w:p>
    <w:p>
      <w:pPr>
        <w:ind w:left="420"/>
      </w:pPr>
      <w:r>
        <w:t xml:space="preserve">2. ein geodatenbasiertes Antragssystem und gegebenenfalls ein tierbezogenes Antragssystem,</w:t>
      </w:r>
    </w:p>
    <w:p>
      <w:pPr>
        <w:ind w:left="420"/>
      </w:pPr>
      <w:r>
        <w:t xml:space="preserve">3. spätestens ab dem 1. Januar 2024 ein Flächenmonitoringsystem,</w:t>
      </w:r>
    </w:p>
    <w:p>
      <w:pPr>
        <w:ind w:left="420"/>
      </w:pPr>
      <w:r>
        <w:t xml:space="preserve">4. ein System zur Identifizierung von Betriebsinhabern und</w:t>
      </w:r>
    </w:p>
    <w:p>
      <w:pPr>
        <w:ind w:left="420"/>
      </w:pPr>
      <w:r>
        <w:t xml:space="preserve">5. ein Kontroll- und Sanktionssystem.</w:t>
      </w:r>
    </w:p>
    <w:p>
      <w:r>
        <w:rPr>
          <w:color w:val="555555"/>
          <w:sz w:val="17"/>
        </w:rPr>
        <w:t xml:space="preserve">Zitiervorschlag: § 3 GAPInVeKoSG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