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GAPInVeKoSG — Obergrenzen</w:t>
      </w:r>
    </w:p>
    <w:p>
      <w:r>
        <w:rPr>
          <w:color w:val="555555"/>
          <w:sz w:val="18"/>
        </w:rPr>
        <w:t xml:space="preserve">GAP-Integriertes Verwaltungs- und Kontrollsystem-Gesetz</w:t>
      </w:r>
    </w:p>
    <w:p>
      <w:r>
        <w:rPr>
          <w:color w:val="555555"/>
          <w:sz w:val="18"/>
        </w:rPr>
        <w:t xml:space="preserve">Stand: 16.12.2022 (konsolidierte Textfassung, kein amtliches Inkrafttretensdatum)</w:t>
      </w:r>
    </w:p>
    <w:p>
      <w:r>
        <w:t xml:space="preserve">(1) Die Kürzung der jeweiligen Direktzahlung darf ohne Berücksichtigung einer möglichen Verzinsung 100 Prozent der beantragten Zahlungen nicht überschreiten.</w:t>
      </w:r>
    </w:p>
    <w:p>
      <w:r>
        <w:t xml:space="preserve">(2) Der Betrag der Sanktionierung darf ohne Berücksichtigung einer möglichen Verzinsung 100 Prozent der beantragten Zahlungen nicht überschreiten.</w:t>
      </w:r>
    </w:p>
    <w:p>
      <w:r>
        <w:t xml:space="preserve">(3) Der Ausschluss von einer Direktzahlung kann auf einen Zeitraum von höchstens drei aufeinanderfolgenden Jahren festgelegt werden. Dies kann im Falle eines wiederholten Verstoßes erneut angewandt werden.</w:t>
      </w:r>
    </w:p>
    <w:p>
      <w:r>
        <w:rPr>
          <w:color w:val="555555"/>
          <w:sz w:val="17"/>
        </w:rPr>
        <w:t xml:space="preserve">Zitiervorschlag: § 13 GAPInVeKoSG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