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GAPInVeKoSG — Kürzungen, Sanktionen und Ausschlüsse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Hat ein Betriebsinhaber die Fördervoraussetzungen für die Direktzahlungen nicht oder nicht vollumfänglich erfüllt (Verstoß), wird die beantragte Direktzahlung gekürzt.</w:t>
      </w:r>
    </w:p>
    <w:p>
      <w:r>
        <w:t xml:space="preserve">(2) Darüber hinaus werden die verwaltungsrechtlichen Sanktionen nach diesem Kapitel angewandt. Die verwaltungsrechtlichen Sanktionen bestehen in der Zahlung eines über die Kürzung nach Absatz 1 hinausgehenden Betrages durch den Betriebsinhaber. Zudem kann der Betriebsinhaber von einer Direktzahlung ausgeschlossen werden.</w:t>
      </w:r>
    </w:p>
    <w:p>
      <w:r>
        <w:rPr>
          <w:color w:val="555555"/>
          <w:sz w:val="17"/>
        </w:rPr>
        <w:t xml:space="preserve">Zitiervorschlag: § 11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