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GAPFinISchG — Erhebung, Speicherung und Verwendung personenbezogener Daten</w:t>
      </w:r>
    </w:p>
    <w:p>
      <w:r>
        <w:rPr>
          <w:color w:val="555555"/>
          <w:sz w:val="18"/>
        </w:rPr>
        <w:t xml:space="preserve">GAP-Finanzinteressen-Schutz-Gesetz</w:t>
      </w:r>
    </w:p>
    <w:p>
      <w:r>
        <w:rPr>
          <w:color w:val="555555"/>
          <w:sz w:val="18"/>
        </w:rPr>
        <w:t xml:space="preserve">Stand: 03.08.2023 (konsolidierte Textfassung, kein amtliches Inkrafttretensdatum)</w:t>
      </w:r>
    </w:p>
    <w:p>
      <w:r>
        <w:t xml:space="preserve">Die zuständige Behörde ist befugt, in ihrem jeweiligen Zuständigkeitsbereich die Daten im Sinne des § 3 zum Zwecke der Durchführung des Artikels 59 Absatz 4 der Verordnung (EU) 2021/2116 und des Artikels 44 Absatz 1 Unterabsatz 1 der Durchführungsverordnung (EU) 2022/128 der Kommission vom 21. Dezember 2021 mit Durchführungsbestimmungen zur Verordnung (EU) 2021/2116 des Europäischen Parlaments und des Rates hinsichtlich der Zahlstellen und anderen Einrichtungen, der Finanzverwaltung, des Rechnungsabschlusses, der Kontrollen, der Sicherheiten und der Transparenz (ABl. L 20 vom 31.1.2022, S. 131) in der jeweils geltenden Fassung zu erheben, zu speichern und zu verwenden. Abschnitt 6 des Marktorganisationsgesetzes gilt entsprechend.</w:t>
      </w:r>
    </w:p>
    <w:p>
      <w:r>
        <w:rPr>
          <w:color w:val="555555"/>
          <w:sz w:val="17"/>
        </w:rPr>
        <w:t xml:space="preserve">Zitiervorschlag: § 4 GAPFinISchG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https://recht.nulegal.eu/gesetze/GAPFinISchG/4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