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GAPFinISchG — Anwendungsbereich</w:t>
      </w:r>
    </w:p>
    <w:p>
      <w:r>
        <w:rPr>
          <w:color w:val="555555"/>
          <w:sz w:val="18"/>
        </w:rPr>
        <w:t xml:space="preserve">GAP-Finanzinteressen-Schutz-Gesetz</w:t>
      </w:r>
    </w:p>
    <w:p>
      <w:r>
        <w:rPr>
          <w:color w:val="555555"/>
          <w:sz w:val="18"/>
        </w:rPr>
        <w:t xml:space="preserve">Stand: 03.08.2023 (konsolidierte Textfassung, kein amtliches Inkrafttretensdatum)</w:t>
      </w:r>
    </w:p>
    <w:p>
      <w:r>
        <w:t xml:space="preserve">(1) Dieses Gesetz dient der Durchführung des Titels IV Kapitel I der Verordnung (EU) 2021/2116 des Europäischen Parlaments und des Rates vom 2. Dezember 2021 über die Finanzierung, Verwaltung und Überwachung der Gemeinsamen Agrarpolitik und zur Aufhebung der Verordnung (EU) Nr. 1306/2013 (ABl. L 435 vom 6.12.2021, S. 187; L 29 vom 10.2.2022, S. 45) in der jeweils geltenden Fassung sowie der im Rahmen des Titels IV Kapitel I der Verordnung (EU) 2021/2116 und der zu seiner Durchführung erlassenen weiteren Rechtsakten der Europäischen Union, soweit Absatz 2 nichts anderes bestimmt.</w:t>
      </w:r>
    </w:p>
    <w:p>
      <w:r>
        <w:t xml:space="preserve">(2) Für Interventionen oder Maßnahmen, die aus dem Europäischen Landwirtschaftsfonds für die Entwicklung des ländlichen Raumes finanziert werden, gilt dieses Gesetz nur, soweit das Landesrecht dies bestimmt.</w:t>
      </w:r>
    </w:p>
    <w:p>
      <w:r>
        <w:t xml:space="preserve">(3) Dieses Gesetz gilt unbeschadet der Regelungen des § 264 des Strafgesetzbuches, des Subventionsgesetzes und anderer nationaler Rechtsvorschriften, die Bestimmungen zum Schutz der finanziellen Interessen der Union enthalten.</w:t>
      </w:r>
    </w:p>
    <w:p>
      <w:r>
        <w:rPr>
          <w:color w:val="555555"/>
          <w:sz w:val="17"/>
        </w:rPr>
        <w:t xml:space="preserve">Zitiervorschlag: § 1 GAPFinISchG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https://recht.nulegal.eu/gesetze/GAPFinISchG/1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