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GAPFG NRW (Nordrhein-Westfalen) — Aufrechnung von Forderungen</w:t>
      </w:r>
    </w:p>
    <w:p>
      <w:r>
        <w:rPr>
          <w:color w:val="555555"/>
          <w:sz w:val="18"/>
        </w:rPr>
        <w:t xml:space="preserve">GAP-Fördergesetz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Unbeschadet anderer Rechtsvorschriften können noch ausstehende Rückforderungen nach</w:t>
      </w:r>
    </w:p>
    <w:p>
      <w:r>
        <w:t xml:space="preserve">§ 7 sowie Forderungen aufgrund von Sanktionen nach § 8 Absatz 1 gegen etwaige künftige Zahlungen, die von der für die Forderung des geschuldeten Betrags zuständigen Bewilligungsstelle an die betroffene begünstigende Person zu leisten sind, gegenüber dieser begünstigenden Person aufgerechnet werden.</w:t>
      </w:r>
    </w:p>
    <w:p>
      <w:r>
        <w:rPr>
          <w:color w:val="555555"/>
          <w:sz w:val="17"/>
        </w:rPr>
        <w:t xml:space="preserve">Zitiervorschlag: § 9 GAPFG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https://recht.nulegal.eu/gesetze/GAPFG%20NRW/9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