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GAPFG NRW (Nordrhein-Westfalen) — Bagatellregelungen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der Rückforderung zu Unrecht erfolgter Zahlungen kann abgesehen werden, wenn der zurückzufordernde Betrag 250 Euro nicht übersteigt.</w:t>
      </w:r>
    </w:p>
    <w:p>
      <w:r>
        <w:t xml:space="preserve">(2) Für die Geltendmachung von Zinsansprüchen gilt dies entsprechend.</w:t>
      </w:r>
    </w:p>
    <w:p>
      <w:r>
        <w:t xml:space="preserve">Teil 3</w:t>
      </w:r>
    </w:p>
    <w:p>
      <w:r>
        <w:t xml:space="preserve">Gemeinsame Vorschriften für Bienenzuchtsektor- und ELER-Interventionen</w:t>
      </w:r>
    </w:p>
    <w:p>
      <w:r>
        <w:rPr>
          <w:color w:val="555555"/>
          <w:sz w:val="17"/>
        </w:rPr>
        <w:t xml:space="preserve">Zitiervorschlag: § 3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