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GAPFG NRW (Nordrhein-Westfalen) — Gestrichene Mittel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Rückforderungen gemäß § 7 und Sanktionen gemäß § 8 gelten als gestrichene Mittel im Sinne von Artikel 57 Absatz 1 der Verordnung (EU) 2021/2116, welche die im Bewilligungsbescheid festgesetzte Gesamtförderung entsprechend verringern.</w:t>
      </w:r>
    </w:p>
    <w:p>
      <w:r>
        <w:t xml:space="preserve">(2) Gestrichene Mittel dürfen nicht wieder dem Vorhaben zugewiesen werden, bei dem die finanzielle Anpassung vorgenommen wurde. Sie können nicht für spätere Zahlungsanträge desselben Vorhabens verwendet werden.</w:t>
      </w:r>
    </w:p>
    <w:p>
      <w:r>
        <w:t xml:space="preserve">Teil 8</w:t>
      </w:r>
    </w:p>
    <w:p>
      <w:r>
        <w:t xml:space="preserve">Datenaustausch für Bienenzuchtsektor- und ELER-Interventionen</w:t>
      </w:r>
    </w:p>
    <w:p>
      <w:r>
        <w:rPr>
          <w:color w:val="555555"/>
          <w:sz w:val="17"/>
        </w:rPr>
        <w:t xml:space="preserve">Zitiervorschlag: § 21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