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GAPFG NRW (Nordrhein-Westfalen) — Verwaltungs- und Kontrollsystem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Wahrung der finanziellen Interessen der Europäischen Union wird ein Verwaltungs- und Kontrollsystem eingerichtet.</w:t>
      </w:r>
    </w:p>
    <w:p>
      <w:r>
        <w:t xml:space="preserve">(2) Das Verwaltungs- und Kontrollsystem beinhaltet insbesondere ein Kontroll- und Sanktionssystem.</w:t>
      </w:r>
    </w:p>
    <w:p>
      <w:r>
        <w:rPr>
          <w:color w:val="555555"/>
          <w:sz w:val="17"/>
        </w:rPr>
        <w:t xml:space="preserve">Zitiervorschlag: § 18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