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GAPFG NRW (Nordrhein-Westfalen) — Anwendbarkeit von Vorschriften des GAP-Integriertes Verwaltungs- und Kontrollsystem-Gesetzes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Beantragung von flächen- und tierbezogenen ELER-Interventionen gelten die §§ 4, 9 und 10 des GAP-Integriertes Verwaltungs- und Kontrollsystem-Gesetzes entsprechend. Gegenstand des Kontrollsystems sind die Fördervoraussetzungen, Verpflichtungen und sonstigen Auflagen.</w:t>
      </w:r>
    </w:p>
    <w:p>
      <w:r>
        <w:t xml:space="preserve">Teil 6</w:t>
      </w:r>
    </w:p>
    <w:p>
      <w:r>
        <w:t xml:space="preserve">Gemeinsame Vorschriften für Bienenzuchtsektor-Interventionen und nicht</w:t>
      </w:r>
    </w:p>
    <w:p>
      <w:r>
        <w:t xml:space="preserve">flächen- und tierbezogene ELER-Interventionen</w:t>
      </w:r>
    </w:p>
    <w:p>
      <w:r>
        <w:rPr>
          <w:color w:val="555555"/>
          <w:sz w:val="17"/>
        </w:rPr>
        <w:t xml:space="preserve">Zitiervorschlag: § 17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