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GAPFG NRW (Nordrhein-Westfalen) — Verbot der Umgehung rechtlicher Vorschriften sowie Vorschriften zurIdentifizierungder begünstigten Person</w:t>
      </w:r>
    </w:p>
    <w:p>
      <w:r>
        <w:rPr>
          <w:color w:val="555555"/>
          <w:sz w:val="18"/>
        </w:rPr>
        <w:t xml:space="preserve">GAP-Fördergesetz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Regelungen des GAP-Finanzinteressen-Schutz-Gesetzes vom 26. Juli 2023 (BGBl. I Nr. 204) gelten gemäß § 1 Absatz 2 des GAP-Finanzinteressen-Schutz-Gesetzes entsprechend. Ausgenommen hiervon ist § 2 Absatz 3 des GAP-Finanzinteressen-Schutz-Gesetzes.</w:t>
      </w:r>
    </w:p>
    <w:p>
      <w:r>
        <w:t xml:space="preserve">Teil 5</w:t>
      </w:r>
    </w:p>
    <w:p>
      <w:r>
        <w:t xml:space="preserve">Vorschriften für flächen- und tierbezogene ELER-Interventionen</w:t>
      </w:r>
    </w:p>
    <w:p>
      <w:r>
        <w:rPr>
          <w:color w:val="555555"/>
          <w:sz w:val="17"/>
        </w:rPr>
        <w:t xml:space="preserve">Zitiervorschlag: § 13 GAPFG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https://recht.nulegal.eu/gesetze/GAPFG%20NRW/13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