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GAPFG NRW (Nordrhein-Westfalen) — Anwendungsbereich</w:t>
      </w:r>
    </w:p>
    <w:p>
      <w:r>
        <w:rPr>
          <w:color w:val="555555"/>
          <w:sz w:val="18"/>
        </w:rPr>
        <w:t xml:space="preserve">GAP-Fördergesetz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Dieses Gesetz dient der Durchführung der Verordnung (EU) 2021/2116 des Europäischen Parlaments und des Rates vom 2. Dezember 2021 über die Finanzierung, Verwaltung und Überwachung der Gemeinsamen Agrarpolitik und zur Aufhebung der Verordnung (EU) Nr. 1306/2013 (ABl. L 435 vom 6.12.2021, S. 187), soweit sie sich auf die Umsetzung der Interventionen nach Titel III Kapitel II, auf Interventionen nach Artikel 42 Buchstaben a und b in Verbindung mit Titel III Kapitel III Abschnitt 2 und 3 sowie auf Interventionen nach Titel III Kapitel IV der Verordnung (EU) 2021/2115 des Europäischen Parlaments und des Rates vom 2. Dezember 2021 mit Vorschriften für die Unterstützung der von den Mitgliedstaaten im Rahmen der Gemeinsamen Agrarpolitik zu erstellenden und durch den Europäischen Garantiefonds für die Landwirtschaft (EGFL) und den Europäischen Landwirtschaftsfonds für die Entwicklung des ländlichen Raums (ELER) zu finanzierenden Strategiepläne (GAP-Strategiepläne) und zur Aufhebung der Verordnung (EU) Nr. 1305/2013 sowie der Verordnung (EU) Nr. 1307/2013 (ABl. L 435 vom 6.12.2021, S. 1) beziehen.</w:t>
      </w:r>
    </w:p>
    <w:p>
      <w:r>
        <w:rPr>
          <w:color w:val="555555"/>
          <w:sz w:val="17"/>
        </w:rPr>
        <w:t xml:space="preserve">Zitiervorschlag: § 1 GAPFG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https://recht.nulegal.eu/gesetze/GAPFG%20NRW/1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