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GAPFöVOFT (Nordrhein-Westfalen)</w:t>
      </w:r>
    </w:p>
    <w:p>
      <w:r>
        <w:rPr>
          <w:color w:val="555555"/>
          <w:sz w:val="18"/>
        </w:rPr>
        <w:t xml:space="preserve">GAP-Förderverordnung NRW Fläche und Tier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3. Dezember 2024</w:t>
      </w:r>
    </w:p>
    <w:p>
      <w:r>
        <w:t xml:space="preserve">Auf Grund des § 23 Absatz 1 Satz 1 und Satz 2 Nummer 1 bis 5, 6 Buchstabe a, c, d, e, f und g sowie Nummer 8 und 10 des GAP-Fördergesetzes NRW vom 5. März 2024 (GV. NRW. S. 156) verordnet das Ministerium für Landwirtschaft und Verbraucherschutz:</w:t>
      </w:r>
    </w:p>
    <w:p>
      <w:r>
        <w:t xml:space="preserve">Inhaltsübersicht</w:t>
      </w:r>
    </w:p>
    <w:p>
      <w:r>
        <w:t xml:space="preserve">Teil 1</w:t>
      </w:r>
    </w:p>
    <w:p>
      <w:r>
        <w:t xml:space="preserve">§ 1 Anwendungsbereich</w:t>
      </w:r>
    </w:p>
    <w:p>
      <w:r>
        <w:t xml:space="preserve">Teil 2</w:t>
      </w:r>
    </w:p>
    <w:p>
      <w:r>
        <w:t xml:space="preserve">Vorschriften für flächen- und tierbezogene ELER-Interventionen</w:t>
      </w:r>
    </w:p>
    <w:p>
      <w:r>
        <w:t xml:space="preserve">§ 2 Gewährung von Zahlungen bei Übertragung des Betriebs</w:t>
      </w:r>
    </w:p>
    <w:p>
      <w:r>
        <w:t xml:space="preserve">§ 3 System zur Identifizierung von Parzellen</w:t>
      </w:r>
    </w:p>
    <w:p>
      <w:r>
        <w:t xml:space="preserve">§ 4 Grundanträge für Fördermaßnahmen nach Artikel 70 der Verordnung (EU) 2021/2115</w:t>
      </w:r>
    </w:p>
    <w:p>
      <w:r>
        <w:t xml:space="preserve">§ 5 Revisionsklausel</w:t>
      </w:r>
    </w:p>
    <w:p>
      <w:r>
        <w:t xml:space="preserve">§ 6 Anpassung von Fördermaßnahmen bei Flurbereinigungsverfahren</w:t>
      </w:r>
    </w:p>
    <w:p>
      <w:r>
        <w:t xml:space="preserve">Teil 3</w:t>
      </w:r>
    </w:p>
    <w:p>
      <w:r>
        <w:t xml:space="preserve">Vorschriften für flächenbezogene ELER-Interventionen</w:t>
      </w:r>
    </w:p>
    <w:p>
      <w:r>
        <w:t xml:space="preserve">§ 7 Förderfähige Flächen</w:t>
      </w:r>
    </w:p>
    <w:p>
      <w:r>
        <w:t xml:space="preserve">§ 8 Übertragung von Flächen</w:t>
      </w:r>
    </w:p>
    <w:p>
      <w:r>
        <w:t xml:space="preserve">§ 9 Nichtlandwirtschaftliche Tätigkeit bei einzelflächenbezogenen Fördermaßnahmen nach Artikel 70 der Verordnung (EU) 2021/2115</w:t>
      </w:r>
    </w:p>
    <w:p>
      <w:r>
        <w:t xml:space="preserve">Teil 4</w:t>
      </w:r>
    </w:p>
    <w:p>
      <w:r>
        <w:t xml:space="preserve">Zahlungsantrag im Sammelantrag für flächen- und tierbezogene ELER-Interventionen</w:t>
      </w:r>
    </w:p>
    <w:p>
      <w:r>
        <w:t xml:space="preserve">§ 10 Zahlungsantrag, Ermächtigung zur Abfrage weiterer Angaben</w:t>
      </w:r>
    </w:p>
    <w:p>
      <w:r>
        <w:t xml:space="preserve">§ 11 Antragssystem für den Zahlungsantrag im Sammelantrag</w:t>
      </w:r>
    </w:p>
    <w:p>
      <w:r>
        <w:t xml:space="preserve">§ 12 Nutzung von Daten nach GAPInVeKoS-Verordnung</w:t>
      </w:r>
    </w:p>
    <w:p>
      <w:r>
        <w:t xml:space="preserve">§ 13 Anwendbarkeit von Vorschriften der GAPInVeKoS-Verordnung im Zusammenhang mit dem Zahlungsantrag im Sammelantrag</w:t>
      </w:r>
    </w:p>
    <w:p>
      <w:r>
        <w:t xml:space="preserve">§ 14 Angaben zu nichtlandwirtschaftlichen Tätigkeiten nach § 9 im Zahlungsantrag im Sammelantrag</w:t>
      </w:r>
    </w:p>
    <w:p>
      <w:r>
        <w:t xml:space="preserve">Teil 5</w:t>
      </w:r>
    </w:p>
    <w:p>
      <w:r>
        <w:t xml:space="preserve">Kontrollsystem für flächen- und tierbezogene ELER-Interventionen</w:t>
      </w:r>
    </w:p>
    <w:p>
      <w:r>
        <w:t xml:space="preserve">§ 15 Verwaltungskontrollen</w:t>
      </w:r>
    </w:p>
    <w:p>
      <w:r>
        <w:t xml:space="preserve">§ 16 Anwendbarkeit von weiteren Vorschriften der GAPInVeKoS-Verordnung im Zusammenhang mit dem Kontrollsystem für flächen- und tierbezogene ELER-Interventionen</w:t>
      </w:r>
    </w:p>
    <w:p>
      <w:r>
        <w:t xml:space="preserve">§ 17 Kontrollen durch das Flächenüberwachungssystem</w:t>
      </w:r>
    </w:p>
    <w:p>
      <w:r>
        <w:t xml:space="preserve">§ 18 Vor-Ort-Kontrollen von tierbezogenen ELER-Interventionen</w:t>
      </w:r>
    </w:p>
    <w:p>
      <w:r>
        <w:t xml:space="preserve">Teil 6</w:t>
      </w:r>
    </w:p>
    <w:p>
      <w:r>
        <w:t xml:space="preserve">Mitwirkungspflichten der begünstigten Person bei flächen- und tierbezogenen ELER-Interventionen</w:t>
      </w:r>
    </w:p>
    <w:p>
      <w:r>
        <w:t xml:space="preserve">§ 19 Vorhalten von Nachweisen durch die begünstigte Person</w:t>
      </w:r>
    </w:p>
    <w:p>
      <w:r>
        <w:t xml:space="preserve">§ 20 Informations-, Mitwirkungs- und Aufbewahrungspflichten</w:t>
      </w:r>
    </w:p>
    <w:p>
      <w:r>
        <w:t xml:space="preserve">Teil 7</w:t>
      </w:r>
    </w:p>
    <w:p>
      <w:r>
        <w:t xml:space="preserve">Berechnung von Zahlungen und Sanktionen für flächen- und tierbezogenen ELER-Interventionen</w:t>
      </w:r>
    </w:p>
    <w:p>
      <w:r>
        <w:t xml:space="preserve">§ 21 Allgemeine Vorschriften für die Berechnung von Zahlungen</w:t>
      </w:r>
    </w:p>
    <w:p>
      <w:r>
        <w:t xml:space="preserve">§ 22 Anwendbarkeit von Vorschriften der GAPInVeKoS-Verordnung im Zusammenhang mit der Berechnung von Zahlungen und Sanktionen</w:t>
      </w:r>
    </w:p>
    <w:p>
      <w:r>
        <w:t xml:space="preserve">§ 23 Maßnahmenbezogene Sanktionen bei Verstößen</w:t>
      </w:r>
    </w:p>
    <w:p>
      <w:r>
        <w:t xml:space="preserve">§ 24 Schwellenwerte</w:t>
      </w:r>
    </w:p>
    <w:p>
      <w:r>
        <w:t xml:space="preserve">§ 25 Reihenfolge der Abzüge</w:t>
      </w:r>
    </w:p>
    <w:p>
      <w:r>
        <w:t xml:space="preserve">Teil 8</w:t>
      </w:r>
    </w:p>
    <w:p>
      <w:r>
        <w:t xml:space="preserve">Schlussbestimmungen</w:t>
      </w:r>
    </w:p>
    <w:p>
      <w:r>
        <w:t xml:space="preserve">§ 26 Inkrafttreten, Außerkrafttreten</w:t>
      </w:r>
    </w:p>
    <w:p>
      <w:r>
        <w:rPr>
          <w:color w:val="555555"/>
          <w:sz w:val="17"/>
        </w:rPr>
        <w:t xml:space="preserve">Zitiervorschlag: Eingangsformel GAPFöVOFT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https://recht.nulegal.eu/gesetze/GAPF%C3%B6VOFT/eingangsformel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