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GAPFöVOFT (Nordrhein-Westfalen) — Förderfähige Flächen</w:t>
      </w:r>
    </w:p>
    <w:p>
      <w:r>
        <w:rPr>
          <w:color w:val="555555"/>
          <w:sz w:val="18"/>
        </w:rPr>
        <w:t xml:space="preserve">GAP-Förderverordnung NRW Fläche und Tier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den flächenbezogenen ELER-Interventionen sind Flächen im Sinne des § 11 Absatz 1 Nummer 1 und 2 sowie Nummer 3 Buchstabe a und b der GAP-Direktzahlungen-Verordnung sowie Flächen mit Biotopen ohne landwirtschaftliche Nutzung förderfähig, für die die zuständige Behörde für die Zwecke der Antragsbearbeitung einen Nutzungscode festgelegt hat.</w:t>
      </w:r>
    </w:p>
    <w:p>
      <w:r>
        <w:t xml:space="preserve">(2) Die Festlegung der Förderfähigkeit einer Fläche bezogen auf die einzelne Fördermaßnahme erfolgt in den einzelnen Richtlinien zur Förderung der flächenbezogenen ELER-Interventionen.</w:t>
      </w:r>
    </w:p>
    <w:p>
      <w:r>
        <w:rPr>
          <w:color w:val="555555"/>
          <w:sz w:val="17"/>
        </w:rPr>
        <w:t xml:space="preserve">Zitiervorschlag: § 7 GAPFöVOFT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https://recht.nulegal.eu/gesetze/GAPF%C3%B6VOFT/7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