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GAPFöVOFT (Nordrhein-Westfalen) — Reihenfolge der Abzüge</w:t>
      </w:r>
    </w:p>
    <w:p>
      <w:r>
        <w:rPr>
          <w:color w:val="555555"/>
          <w:sz w:val="18"/>
        </w:rPr>
        <w:t xml:space="preserve">GAP-Förderverordnung NRW Fläche und Tier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Abzüge sind für die jeweilige Zahlung für eine flächen- oder tierbezogene Fördermaßnahme in folgender Reihenfolge anzuwenden:</w:t>
      </w:r>
    </w:p>
    <w:p>
      <w:r>
        <w:t xml:space="preserve">1. die Übererklärungssanktion bei flächenbezogenen Fördermaßnahmen nach § 22 Nummer 2,</w:t>
      </w:r>
    </w:p>
    <w:p>
      <w:r>
        <w:t xml:space="preserve">2. der abgelehnte Betrag nach § 7 des GAP-Fördergesetzes NRW und Sanktionen nach § 8 des GAP-Fördergesetzes NRW in Verbindung mit § 23,</w:t>
      </w:r>
    </w:p>
    <w:p>
      <w:r>
        <w:t xml:space="preserve">3. die Fristsanktion nach § 22 Nummer 3,</w:t>
      </w:r>
    </w:p>
    <w:p>
      <w:r>
        <w:t xml:space="preserve">4. die Nichtanmeldungssanktion nach § 22 Nummer 1.</w:t>
      </w:r>
    </w:p>
    <w:p>
      <w:r>
        <w:t xml:space="preserve">(2) Sanktionen wegen Verstößen gegen Regelungen der Konditionalität oder der sozialen Konditionalität nach Kapitel 4 Abschnitt 2 des GAP-Konditionalitäten-Gesetzes werden auf den sich nach Absatz 1 ergebenden Betrag angewendet.</w:t>
      </w:r>
    </w:p>
    <w:p>
      <w:r>
        <w:rPr>
          <w:color w:val="555555"/>
          <w:sz w:val="17"/>
        </w:rPr>
        <w:t xml:space="preserve">Zitiervorschlag: § 25 GAPFöVOFT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https://recht.nulegal.eu/gesetze/GAPF%C3%B6VOFT/25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