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GAPFöVOFT (Nordrhein-Westfalen) — Anwendbarkeit von Vorschriften der GAPInVeKoS-Verordnung im Zusammenhangmit der Berechnung von Zahlungen und Sanktionen</w:t>
      </w:r>
    </w:p>
    <w:p>
      <w:r>
        <w:rPr>
          <w:color w:val="555555"/>
          <w:sz w:val="18"/>
        </w:rPr>
        <w:t xml:space="preserve">GAP-Förderverordnung NRW Fläche und Tier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Zusammenhang mit der Berechnung von Zahlungen und Sanktionen gelten die folgenden Vorgaben der GAPInVeKoS-Verordnung jeweils entsprechend:</w:t>
      </w:r>
    </w:p>
    <w:p>
      <w:r>
        <w:t xml:space="preserve">1. in Bezug auf Sanktionen bei Nichtanmeldung aller Flächen § 43 der GAPInVeKoS-Verordnung,</w:t>
      </w:r>
    </w:p>
    <w:p>
      <w:r>
        <w:t xml:space="preserve">2. in Bezug auf Sanktionen bei Übererklärungen bei flächenbezogenen Fördermaßnahmen§ 44 Absatz 1 und 2 der GAPInVeKoS-Verordnung und</w:t>
      </w:r>
    </w:p>
    <w:p>
      <w:r>
        <w:t xml:space="preserve">3. in Bezug auf die verspätete Einreichung des Zahlungsantrages § 46 Absatz 1 und 3 der GAPInVeKoS-Verordnung, wobei die Frist nach § 46 Absatz 1 der GAPInVeKoS-Verordnung abweichend in § 16 Absatz 1 des GAP-Fördergesetzes NRW geregelt ist.</w:t>
      </w:r>
    </w:p>
    <w:p>
      <w:r>
        <w:rPr>
          <w:color w:val="555555"/>
          <w:sz w:val="17"/>
        </w:rPr>
        <w:t xml:space="preserve">Zitiervorschlag: § 22 GAPFöVOFT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https://recht.nulegal.eu/gesetze/GAPF%C3%B6VOFT/22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