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GAPFöVOFT (Nordrhein-Westfalen) — Gewährung von Zahlungen bei Übertragung des Betriebs</w:t>
      </w:r>
    </w:p>
    <w:p>
      <w:r>
        <w:rPr>
          <w:color w:val="555555"/>
          <w:sz w:val="18"/>
        </w:rPr>
        <w:t xml:space="preserve">GAP-Förderverordnung NRW Fläche und Tier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Sofern ein Betrieb nach dem Einreichen des Zahlungsantrages und vor Erfüllung aller Fördervoraussetzungen, Verpflichtungen und sonstigen Auflagen für die Gewährung der Zahlungen</w:t>
      </w:r>
    </w:p>
    <w:p>
      <w:r>
        <w:t xml:space="preserve">1. vollständig von einer begünstigten Person an eine andere Person verkauft, verpachtet oder auf jede sonstige Weise übertragen wird, oder</w:t>
      </w:r>
    </w:p>
    <w:p>
      <w:r>
        <w:t xml:space="preserve">2. in von Fördermaßnahmen betroffenen Teilen, von einer begünstigten Person an eine andere Person verkauft, verpachtet oder auf jede sonstige Weise übertragen wird,</w:t>
      </w:r>
    </w:p>
    <w:p>
      <w:r>
        <w:t xml:space="preserve">sind die Zahlungen der übertragenden Person zu gewähren, sofern alle Fördervoraussetzungen, Verpflichtungen und sonstigen Auflagen für die Gewährung der Zahlungen erfüllt sind.</w:t>
      </w:r>
    </w:p>
    <w:p>
      <w:r>
        <w:rPr>
          <w:color w:val="555555"/>
          <w:sz w:val="17"/>
        </w:rPr>
        <w:t xml:space="preserve">Zitiervorschlag: § 2 GAPFöVOFT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https://recht.nulegal.eu/gesetze/GAPF%C3%B6VOFT/2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