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GAPFöVOFT (Nordrhein-Westfalen) — Vorhalten von Nachweisen durch die begünstigte Person</w:t>
      </w:r>
    </w:p>
    <w:p>
      <w:r>
        <w:rPr>
          <w:color w:val="555555"/>
          <w:sz w:val="18"/>
        </w:rPr>
        <w:t xml:space="preserve">GAP-Förderverordnung NRW Fläche und Tier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begünstigte Person ist verpflichtet, die für die Kontrollen der einzelnen Fördermaßnahmen erforderlichen Nachweise vorzuhalten und auf Verlangen jederzeit vorzulegen. Die erforderlichen Nachweise werden durch Richtlinien zur Förderung der flächen- und tierbezogenen ELER-Interventionen festgelegt.</w:t>
      </w:r>
    </w:p>
    <w:p>
      <w:r>
        <w:rPr>
          <w:color w:val="555555"/>
          <w:sz w:val="17"/>
        </w:rPr>
        <w:t xml:space="preserve">Zitiervorschlag: § 19 GAPFöVOFT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https://recht.nulegal.eu/gesetze/GAPF%C3%B6VOFT/19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