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GAPFöVOFT (Nordrhein-Westfalen) — Kontrollen durch das Flächenüberwachungssystem</w:t>
      </w:r>
    </w:p>
    <w:p>
      <w:r>
        <w:rPr>
          <w:color w:val="555555"/>
          <w:sz w:val="18"/>
        </w:rPr>
        <w:t xml:space="preserve">GAP-Förderverordnung NRW Fläche und Tier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Zusammenhang mit dem Flächenüberwachungssystem gelten die folgenden Vorgaben der GAPInVeKoS-Verordnung jeweils entsprechend:</w:t>
      </w:r>
    </w:p>
    <w:p>
      <w:r>
        <w:t xml:space="preserve">1. in Bezug auf Kontrollen durch das Flächenüberwachungssystem § 32 Absatz 1 bis 3 der GAPInVeKoS-Verordnung und</w:t>
      </w:r>
    </w:p>
    <w:p>
      <w:r>
        <w:t xml:space="preserve">2. in Bezug auf Vor-Ort-Kontrollen bei dem Flächenüberwachungssystem § 33 der GAPInVeKoS-Verordnung.</w:t>
      </w:r>
    </w:p>
    <w:p>
      <w:r>
        <w:rPr>
          <w:color w:val="555555"/>
          <w:sz w:val="17"/>
        </w:rPr>
        <w:t xml:space="preserve">Zitiervorschlag: § 17 GAPFöVOFT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https://recht.nulegal.eu/gesetze/GAPF%C3%B6VOFT/17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