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GAPFöVOFT (Nordrhein-Westfalen) — Anwendbarkeit von weiteren Vorschriften der GAPInVeKoS-Verordnungim Zusammenhang mit dem Kontrollsystem fürflächen- und tierbezogeneELER-Interventionen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Zusammenhang mit dem Kontrollsystem gelten die folgenden Vorgaben der GAPInVeKoS-Verordnung jeweils entsprechend:</w:t>
      </w:r>
    </w:p>
    <w:p>
      <w:r>
        <w:t xml:space="preserve">1. in Bezug auf die Ermittlung der Flächengröße bei den flächenbezogenen ELER-Interventionen § 29 der GAPInVeKoS-Verordnung,</w:t>
      </w:r>
    </w:p>
    <w:p>
      <w:r>
        <w:t xml:space="preserve">2. in Bezug auf die Unterrichtungspflichten der Behörde bei den flächen- und tierbezogenen ELER-Interventionen § 30 der GAPInVeKoS-Verordnung und</w:t>
      </w:r>
    </w:p>
    <w:p>
      <w:r>
        <w:t xml:space="preserve">3. in Bezug auf Kontrollberichte bei den flächen- und tierbezogenen ELER-Interventionen § 31 der GAPInVeKoS-Verordnung.</w:t>
      </w:r>
    </w:p>
    <w:p>
      <w:r>
        <w:rPr>
          <w:color w:val="555555"/>
          <w:sz w:val="17"/>
        </w:rPr>
        <w:t xml:space="preserve">Zitiervorschlag: § 16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GAPFöVOFT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